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A0C10"/>
          <w:sz w:val="40"/>
        </w:rPr>
        <w:t>Legendary Horizon Art Department Collaboration Brief</w:t>
      </w:r>
    </w:p>
    <w:p>
      <w:pPr>
        <w:jc w:val="center"/>
      </w:pPr>
      <w:r>
        <w:rPr>
          <w:i/>
          <w:color w:val="4B5563"/>
          <w:sz w:val="20"/>
        </w:rPr>
        <w:t>Student-created pixel art, concept art, icons, and cosmetics for a living game world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ED"/>
          </w:tcPr>
          <w:p>
            <w:r/>
            <w:r>
              <w:rPr>
                <w:b/>
                <w:color w:val="F59E0B"/>
                <w:sz w:val="21"/>
              </w:rPr>
              <w:t>The invitation</w:t>
              <w:br/>
            </w:r>
            <w:r>
              <w:rPr>
                <w:sz w:val="20"/>
              </w:rPr>
              <w:t>Art students can help build the visual identity of Legendary Horizon through small, controlled asset contributions: pixel props, icons, banners, UI frames, realm concept art, and seasonal cosmetic rewards.</w:t>
            </w:r>
          </w:p>
        </w:tc>
      </w:tr>
    </w:tbl>
    <w:p/>
    <w:p>
      <w:pPr>
        <w:pStyle w:val="Heading1"/>
      </w:pPr>
      <w:r>
        <w:rPr>
          <w:color w:val="0A0C10"/>
        </w:rPr>
        <w:t>Career pathway connection</w:t>
      </w:r>
    </w:p>
    <w:p>
      <w:pPr>
        <w:pStyle w:val="ListBullet"/>
        <w:spacing w:after="60"/>
      </w:pPr>
      <w:r>
        <w:rPr>
          <w:sz w:val="20"/>
        </w:rPr>
        <w:t>Game art and visual development</w:t>
      </w:r>
    </w:p>
    <w:p>
      <w:pPr>
        <w:pStyle w:val="ListBullet"/>
        <w:spacing w:after="60"/>
      </w:pPr>
      <w:r>
        <w:rPr>
          <w:sz w:val="20"/>
        </w:rPr>
        <w:t>Digital illustration and pixel art</w:t>
      </w:r>
    </w:p>
    <w:p>
      <w:pPr>
        <w:pStyle w:val="ListBullet"/>
        <w:spacing w:after="60"/>
      </w:pPr>
      <w:r>
        <w:rPr>
          <w:sz w:val="20"/>
        </w:rPr>
        <w:t>UI/UX visual communication</w:t>
      </w:r>
    </w:p>
    <w:p>
      <w:pPr>
        <w:pStyle w:val="ListBullet"/>
        <w:spacing w:after="60"/>
      </w:pPr>
      <w:r>
        <w:rPr>
          <w:sz w:val="20"/>
        </w:rPr>
        <w:t>Animation and sprite readability</w:t>
      </w:r>
    </w:p>
    <w:p>
      <w:pPr>
        <w:pStyle w:val="ListBullet"/>
        <w:spacing w:after="60"/>
      </w:pPr>
      <w:r>
        <w:rPr>
          <w:sz w:val="20"/>
        </w:rPr>
        <w:t>Portfolio-ready design for a real product</w:t>
      </w:r>
    </w:p>
    <w:p>
      <w:pPr>
        <w:pStyle w:val="Heading1"/>
      </w:pPr>
      <w:r>
        <w:rPr>
          <w:color w:val="0A0C10"/>
        </w:rPr>
        <w:t>Possible contribution levels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  <w:shd w:fill="111827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3168"/>
            <w:shd w:fill="111827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Best For</w:t>
            </w:r>
          </w:p>
        </w:tc>
        <w:tc>
          <w:tcPr>
            <w:tcW w:type="dxa" w:w="4752"/>
            <w:shd w:fill="111827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Possible Outputs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Micro Contribution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A short class activity, enrichment task, or club challenge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8"/>
              </w:rPr>
              <w:t>One 32x32 prop, tool, weapon, or item icon; One guild banner or symbol sketch; One cosmetic variation for the Traveler cloak, badge, or title frame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Standard Contribution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A 1-2 week mini-project or unit extension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8"/>
              </w:rPr>
              <w:t>A themed 10-item realm asset pack; A realm concept sheet with colors, props, and mood notes; A simple 3-4 frame animation concept for an effect or spell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Showcase Contribution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A capstone, exhibit, concert, or district-highlight project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8"/>
              </w:rPr>
              <w:t>A yearly “Greece Artisan Guild” cosmetic pack; A student-designed realm signage/banner set; A gallery display showing concept-to-pixel workflow</w:t>
            </w:r>
          </w:p>
        </w:tc>
      </w:tr>
    </w:tbl>
    <w:p/>
    <w:p>
      <w:pPr>
        <w:pStyle w:val="Heading1"/>
      </w:pPr>
      <w:r>
        <w:rPr>
          <w:color w:val="0A0C10"/>
        </w:rPr>
        <w:t>What Legendary Horizon would provide</w:t>
      </w:r>
    </w:p>
    <w:p>
      <w:pPr>
        <w:pStyle w:val="ListBullet"/>
        <w:spacing w:after="60"/>
      </w:pPr>
      <w:r>
        <w:rPr>
          <w:sz w:val="20"/>
        </w:rPr>
        <w:t>A short design brief with the world, audience, style, and constraints.</w:t>
      </w:r>
    </w:p>
    <w:p>
      <w:pPr>
        <w:pStyle w:val="ListBullet"/>
        <w:spacing w:after="60"/>
      </w:pPr>
      <w:r>
        <w:rPr>
          <w:sz w:val="20"/>
        </w:rPr>
        <w:t>Examples of the current visual/audio/technical direction.</w:t>
      </w:r>
    </w:p>
    <w:p>
      <w:pPr>
        <w:pStyle w:val="ListBullet"/>
        <w:spacing w:after="60"/>
      </w:pPr>
      <w:r>
        <w:rPr>
          <w:sz w:val="20"/>
        </w:rPr>
        <w:t>A simple submission folder and naming convention.</w:t>
      </w:r>
    </w:p>
    <w:p>
      <w:pPr>
        <w:pStyle w:val="ListBullet"/>
        <w:spacing w:after="60"/>
      </w:pPr>
      <w:r>
        <w:rPr>
          <w:sz w:val="20"/>
        </w:rPr>
        <w:t>A review process so only appropriate, polished contributions enter the classroom build.</w:t>
      </w:r>
    </w:p>
    <w:p>
      <w:pPr>
        <w:pStyle w:val="ListBullet"/>
        <w:spacing w:after="60"/>
      </w:pPr>
      <w:r>
        <w:rPr>
          <w:sz w:val="20"/>
        </w:rPr>
        <w:t>Student credit through an approved contributor list or showcase slide.</w:t>
      </w:r>
    </w:p>
    <w:p>
      <w:pPr>
        <w:pStyle w:val="Heading1"/>
      </w:pPr>
      <w:r>
        <w:rPr>
          <w:color w:val="0A0C10"/>
        </w:rPr>
        <w:t>What the department would provide</w:t>
      </w:r>
    </w:p>
    <w:p>
      <w:pPr>
        <w:pStyle w:val="ListBullet"/>
        <w:spacing w:after="60"/>
      </w:pPr>
      <w:r>
        <w:rPr>
          <w:sz w:val="20"/>
        </w:rPr>
        <w:t>PNG exports with transparent background where appropriate</w:t>
      </w:r>
    </w:p>
    <w:p>
      <w:pPr>
        <w:pStyle w:val="ListBullet"/>
        <w:spacing w:after="60"/>
      </w:pPr>
      <w:r>
        <w:rPr>
          <w:sz w:val="20"/>
        </w:rPr>
        <w:t>Consistent style notes: readable, 32x32-friendly, dark fantasy with amber highlights</w:t>
      </w:r>
    </w:p>
    <w:p>
      <w:pPr>
        <w:pStyle w:val="ListBullet"/>
        <w:spacing w:after="60"/>
      </w:pPr>
      <w:r>
        <w:rPr>
          <w:sz w:val="20"/>
        </w:rPr>
        <w:t>Student name/credit format approved by teacher and district</w:t>
      </w:r>
    </w:p>
    <w:p>
      <w:pPr>
        <w:pStyle w:val="Heading1"/>
      </w:pPr>
      <w:r>
        <w:rPr>
          <w:color w:val="0A0C10"/>
        </w:rPr>
        <w:t>Why students may care</w:t>
      </w:r>
    </w:p>
    <w:p>
      <w:pPr>
        <w:spacing w:after="120"/>
      </w:pPr>
      <w:r>
        <w:rPr>
          <w:b w:val="0"/>
          <w:i w:val="0"/>
          <w:sz w:val="21"/>
        </w:rPr>
        <w:t>Students create work with a real use case, not just a simulated prompt. Their art can become part of an educational world used by younger students.</w:t>
      </w:r>
    </w:p>
    <w:p>
      <w:pPr>
        <w:spacing w:after="120"/>
      </w:pPr>
      <w:r>
        <w:rPr>
          <w:b w:val="0"/>
          <w:i w:val="0"/>
          <w:sz w:val="21"/>
        </w:rPr>
        <w:t>Instead of creating work only for a classroom grade, students can contribute to a real district learning experience that younger students will see, use, and remember.</w:t>
      </w:r>
    </w:p>
    <w:p>
      <w:pPr>
        <w:pStyle w:val="Heading1"/>
      </w:pPr>
      <w:r>
        <w:rPr>
          <w:color w:val="0A0C10"/>
        </w:rPr>
        <w:t>Suggested first ask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ED"/>
          </w:tcPr>
          <w:p>
            <w:r/>
            <w:r>
              <w:rPr>
                <w:b/>
                <w:color w:val="F59E0B"/>
                <w:sz w:val="21"/>
              </w:rPr>
              <w:t>Low-friction pilot request</w:t>
              <w:br/>
            </w:r>
            <w:r>
              <w:rPr>
                <w:sz w:val="20"/>
              </w:rPr>
              <w:t>Could a small group of students create one 10-item pixel-art asset pack or a set of guild banners as a pilot contribution?</w:t>
            </w:r>
          </w:p>
        </w:tc>
      </w:tr>
    </w:tbl>
    <w:p/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