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C10"/>
          <w:sz w:val="40"/>
        </w:rPr>
        <w:t>Legendary Horizon District Collaboration Proposal</w:t>
      </w:r>
    </w:p>
    <w:p>
      <w:pPr>
        <w:jc w:val="center"/>
      </w:pPr>
      <w:r>
        <w:rPr>
          <w:i/>
          <w:color w:val="4B5563"/>
          <w:sz w:val="20"/>
        </w:rPr>
        <w:t>A student-created, pathway-aligned learning world for Greece students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r/>
            <w:r>
              <w:rPr>
                <w:b/>
                <w:color w:val="F59E0B"/>
                <w:sz w:val="21"/>
              </w:rPr>
              <w:t>Core idea</w:t>
              <w:br/>
            </w:r>
            <w:r>
              <w:rPr>
                <w:sz w:val="20"/>
              </w:rPr>
              <w:t>Legendary Horizon can grow from a classroom career-planning RPG into a district-supported student production ecosystem: older students contribute music, art, technology, media, testing, and design assets that are used by younger students in an authentic learning experience.</w:t>
            </w:r>
          </w:p>
        </w:tc>
      </w:tr>
    </w:tbl>
    <w:p/>
    <w:p>
      <w:pPr>
        <w:pStyle w:val="Heading1"/>
      </w:pPr>
      <w:r>
        <w:rPr>
          <w:color w:val="0A0C10"/>
        </w:rPr>
        <w:t>Why this direction matters</w:t>
      </w:r>
    </w:p>
    <w:p>
      <w:pPr>
        <w:spacing w:after="120"/>
      </w:pPr>
      <w:r>
        <w:rPr>
          <w:b w:val="0"/>
          <w:i w:val="0"/>
          <w:sz w:val="21"/>
        </w:rPr>
        <w:t>Legendary Horizon already reframes career exploration as character creation: students become Travelers, complete quests tied to real career-planning tasks, explore career-cluster realms, and document progress through classroom deliverables. The next opportunity is to let Greece students help build the world itself.</w:t>
      </w:r>
    </w:p>
    <w:p>
      <w:pPr>
        <w:spacing w:after="120"/>
      </w:pPr>
      <w:r>
        <w:rPr>
          <w:b w:val="0"/>
          <w:i w:val="0"/>
          <w:sz w:val="21"/>
        </w:rPr>
        <w:t>This creates a powerful loop: students learn about career pathways while other students produce real pathway-aligned work for the game. The result is not a one-time assignment; it is a living district artifact that can improve each year.</w:t>
      </w:r>
    </w:p>
    <w:p>
      <w:pPr>
        <w:pStyle w:val="Heading1"/>
      </w:pPr>
      <w:r>
        <w:rPr>
          <w:color w:val="0A0C10"/>
        </w:rPr>
        <w:t>The administrator-facing proposal</w:t>
      </w:r>
    </w:p>
    <w:p>
      <w:pPr>
        <w:spacing w:after="120"/>
      </w:pPr>
      <w:r>
        <w:rPr>
          <w:b w:val="0"/>
          <w:i w:val="0"/>
          <w:sz w:val="21"/>
        </w:rPr>
        <w:t>I am asking to explore a small pilot model where selected departments contribute manageable, curriculum-aligned work products to Legendary Horizon. The goal is not to ask teachers to take on a large extra project. The goal is to provide short, authentic production challenges that already match their course outcomes.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Department / Pathway</w:t>
            </w:r>
          </w:p>
        </w:tc>
        <w:tc>
          <w:tcPr>
            <w:tcW w:type="dxa" w:w="4608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Possible Student Contribution</w:t>
            </w:r>
          </w:p>
        </w:tc>
        <w:tc>
          <w:tcPr>
            <w:tcW w:type="dxa" w:w="3024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Authentic Career Tie-In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Music / Performing Arts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Short realm themes, ambient loops, battle stingers, menu music, recorded motifs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Composition, performance, audio production, scoring for media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Art / Digital Art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Pixel art props, icons, realm banners, UI frames, concept sketches, seasonal cosmetics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Game art, visual design, illustration, animation, UX/UI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Technology / Computer Science / CTE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QA testing, bug reports, accessibility checks, Tiled map support, simple JSON/content systems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Software testing, web development, data systems, technical documentation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Business / Marketing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Launch materials, showcase posters, student creator credits, pitch copy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Marketing, branding, communication, project management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English / Media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Lore writing, NPC dialogue drafts, quest copy, student-facing instruction text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Narrative design, technical writing, editing, communication</w:t>
            </w:r>
          </w:p>
        </w:tc>
      </w:tr>
    </w:tbl>
    <w:p/>
    <w:p>
      <w:pPr>
        <w:pStyle w:val="Heading1"/>
      </w:pPr>
      <w:r>
        <w:rPr>
          <w:color w:val="0A0C10"/>
        </w:rPr>
        <w:t>What makes this realistic</w:t>
      </w:r>
    </w:p>
    <w:p>
      <w:pPr>
        <w:pStyle w:val="ListBullet"/>
        <w:spacing w:after="60"/>
      </w:pPr>
      <w:r>
        <w:rPr>
          <w:sz w:val="20"/>
        </w:rPr>
        <w:t>Start with small deliverables: one song loop, one asset set, one testing checklist, or one polished dialogue pass.</w:t>
      </w:r>
    </w:p>
    <w:p>
      <w:pPr>
        <w:pStyle w:val="ListBullet"/>
        <w:spacing w:after="60"/>
      </w:pPr>
      <w:r>
        <w:rPr>
          <w:sz w:val="20"/>
        </w:rPr>
        <w:t>Use existing curriculum skills rather than inventing new requirements.</w:t>
      </w:r>
    </w:p>
    <w:p>
      <w:pPr>
        <w:pStyle w:val="ListBullet"/>
        <w:spacing w:after="60"/>
      </w:pPr>
      <w:r>
        <w:rPr>
          <w:sz w:val="20"/>
        </w:rPr>
        <w:t>Keep final approval centralized so the game remains coherent, safe, and classroom-ready.</w:t>
      </w:r>
    </w:p>
    <w:p>
      <w:pPr>
        <w:pStyle w:val="ListBullet"/>
        <w:spacing w:after="60"/>
      </w:pPr>
      <w:r>
        <w:rPr>
          <w:sz w:val="20"/>
        </w:rPr>
        <w:t>Credit student contributors inside the project through a “Greece Creators” or “Guild Contributors” section.</w:t>
      </w:r>
    </w:p>
    <w:p>
      <w:pPr>
        <w:pStyle w:val="ListBullet"/>
        <w:spacing w:after="60"/>
      </w:pPr>
      <w:r>
        <w:rPr>
          <w:sz w:val="20"/>
        </w:rPr>
        <w:t>Treat each department contribution as optional and modular; the core game can continue even if one collaboration is delayed.</w:t>
      </w:r>
    </w:p>
    <w:p>
      <w:pPr>
        <w:pStyle w:val="Heading1"/>
      </w:pPr>
      <w:r>
        <w:rPr>
          <w:color w:val="0A0C10"/>
        </w:rPr>
        <w:t>Pilot structure</w:t>
      </w:r>
    </w:p>
    <w:p>
      <w:pPr>
        <w:pStyle w:val="ListNumber"/>
        <w:spacing w:after="60"/>
      </w:pPr>
      <w:r>
        <w:rPr>
          <w:sz w:val="20"/>
        </w:rPr>
        <w:t>Identify one friendly teacher or department lead in Music, Art, and Technology.</w:t>
      </w:r>
    </w:p>
    <w:p>
      <w:pPr>
        <w:pStyle w:val="ListNumber"/>
        <w:spacing w:after="60"/>
      </w:pPr>
      <w:r>
        <w:rPr>
          <w:sz w:val="20"/>
        </w:rPr>
        <w:t>Offer each group a one-page collaboration menu with three possible contribution levels: micro, standard, and showcase.</w:t>
      </w:r>
    </w:p>
    <w:p>
      <w:pPr>
        <w:pStyle w:val="ListNumber"/>
        <w:spacing w:after="60"/>
      </w:pPr>
      <w:r>
        <w:rPr>
          <w:sz w:val="20"/>
        </w:rPr>
        <w:t>Collect student work through a shared Drive folder using simple naming conventions and release/permission expectations approved by the district.</w:t>
      </w:r>
    </w:p>
    <w:p>
      <w:pPr>
        <w:pStyle w:val="ListNumber"/>
        <w:spacing w:after="60"/>
      </w:pPr>
      <w:r>
        <w:rPr>
          <w:sz w:val="20"/>
        </w:rPr>
        <w:t>Select a small number of contributions for the first public build or demo showcase.</w:t>
      </w:r>
    </w:p>
    <w:p>
      <w:pPr>
        <w:pStyle w:val="ListNumber"/>
        <w:spacing w:after="60"/>
      </w:pPr>
      <w:r>
        <w:rPr>
          <w:sz w:val="20"/>
        </w:rPr>
        <w:t>Document the impact with screenshots, student reflections, pathway connections, and a list of next-year opportunities.</w:t>
      </w:r>
    </w:p>
    <w:p>
      <w:pPr>
        <w:pStyle w:val="Heading1"/>
      </w:pPr>
      <w:r>
        <w:rPr>
          <w:color w:val="0A0C10"/>
        </w:rPr>
        <w:t>Sample first-year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4464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312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Evidence of Success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Fall / Early Pilot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1 realm music loop, 10-20 pixel art props, one QA checklist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Assets can be shown in demo or build notes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Midyear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Student creator credits page and showcase slide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Contributors can point to real published classroom work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Spring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Expanded asset pack or cross-department showcase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District can evaluate whether to formalize pathway involvement</w:t>
            </w:r>
          </w:p>
        </w:tc>
      </w:tr>
    </w:tbl>
    <w:p/>
    <w:p>
      <w:pPr>
        <w:pStyle w:val="Heading1"/>
      </w:pPr>
      <w:r>
        <w:rPr>
          <w:color w:val="0A0C10"/>
        </w:rPr>
        <w:t>Why departments would care</w:t>
      </w:r>
    </w:p>
    <w:p>
      <w:pPr>
        <w:spacing w:after="120"/>
      </w:pPr>
      <w:r>
        <w:rPr>
          <w:b w:val="0"/>
          <w:i w:val="0"/>
          <w:sz w:val="21"/>
        </w:rPr>
        <w:t>The project gives students an authentic audience. Their work is not made only for a grade; it becomes part of a real educational platform used by younger learners. This supports portfolio development, career pathway awareness, cross-disciplinary collaboration, and student agency.</w:t>
      </w:r>
    </w:p>
    <w:p>
      <w:pPr>
        <w:pStyle w:val="Heading1"/>
      </w:pPr>
      <w:r>
        <w:rPr>
          <w:color w:val="0A0C10"/>
        </w:rPr>
        <w:t>What I need from Corey</w:t>
      </w:r>
    </w:p>
    <w:p>
      <w:pPr>
        <w:pStyle w:val="ListBullet"/>
        <w:spacing w:after="60"/>
      </w:pPr>
      <w:r>
        <w:rPr>
          <w:sz w:val="20"/>
        </w:rPr>
        <w:t>Guidance on which department chairs or teachers would be best first contacts.</w:t>
      </w:r>
    </w:p>
    <w:p>
      <w:pPr>
        <w:pStyle w:val="ListBullet"/>
        <w:spacing w:after="60"/>
      </w:pPr>
      <w:r>
        <w:rPr>
          <w:sz w:val="20"/>
        </w:rPr>
        <w:t>Advice on permissions, student credit, asset ownership, and district communication expectations.</w:t>
      </w:r>
    </w:p>
    <w:p>
      <w:pPr>
        <w:pStyle w:val="ListBullet"/>
        <w:spacing w:after="60"/>
      </w:pPr>
      <w:r>
        <w:rPr>
          <w:sz w:val="20"/>
        </w:rPr>
        <w:t>Help framing this as pathway-aligned instructional enrichment rather than an extra informal favor.</w:t>
      </w:r>
    </w:p>
    <w:p>
      <w:pPr>
        <w:pStyle w:val="ListBullet"/>
        <w:spacing w:after="60"/>
      </w:pPr>
      <w:r>
        <w:rPr>
          <w:sz w:val="20"/>
        </w:rPr>
        <w:t>Support identifying a small pilot window and a reasonable first showcase target.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r/>
            <w:r>
              <w:rPr>
                <w:b/>
                <w:color w:val="F59E0B"/>
                <w:sz w:val="21"/>
              </w:rPr>
              <w:t>Recommended framing</w:t>
              <w:br/>
            </w:r>
            <w:r>
              <w:rPr>
                <w:sz w:val="20"/>
              </w:rPr>
              <w:t>This is a district-created, student-supported career exploration experience. The long-term vision is a sustainable pipeline where Greece students build assets, media, and technical contributions for a learning world that serves Greece students.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