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0C10"/>
          <w:sz w:val="40"/>
        </w:rPr>
        <w:t>Legendary Horizon Music Department Collaboration Brief</w:t>
      </w:r>
    </w:p>
    <w:p>
      <w:pPr>
        <w:jc w:val="center"/>
      </w:pPr>
      <w:r>
        <w:rPr>
          <w:i/>
          <w:color w:val="4B5563"/>
          <w:sz w:val="20"/>
        </w:rPr>
        <w:t>Student-created themes, loops, and audio identity for a career-exploration RPG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ED"/>
          </w:tcPr>
          <w:p>
            <w:r/>
            <w:r>
              <w:rPr>
                <w:b/>
                <w:color w:val="F59E0B"/>
                <w:sz w:val="21"/>
              </w:rPr>
              <w:t>The invitation</w:t>
              <w:br/>
            </w:r>
            <w:r>
              <w:rPr>
                <w:sz w:val="20"/>
              </w:rPr>
              <w:t>Music students can help create the sound of Legendary Horizon: short realm themes, ambient loops, menu stingers, and performance motifs that make the game feel alive while giving students authentic media-scoring experience.</w:t>
            </w:r>
          </w:p>
        </w:tc>
      </w:tr>
    </w:tbl>
    <w:p/>
    <w:p>
      <w:pPr>
        <w:pStyle w:val="Heading1"/>
      </w:pPr>
      <w:r>
        <w:rPr>
          <w:color w:val="0A0C10"/>
        </w:rPr>
        <w:t>Career pathway connection</w:t>
      </w:r>
    </w:p>
    <w:p>
      <w:pPr>
        <w:pStyle w:val="ListBullet"/>
        <w:spacing w:after="60"/>
      </w:pPr>
      <w:r>
        <w:rPr>
          <w:sz w:val="20"/>
        </w:rPr>
        <w:t>Composition for media and games</w:t>
      </w:r>
    </w:p>
    <w:p>
      <w:pPr>
        <w:pStyle w:val="ListBullet"/>
        <w:spacing w:after="60"/>
      </w:pPr>
      <w:r>
        <w:rPr>
          <w:sz w:val="20"/>
        </w:rPr>
        <w:t>Performance recording and ensemble arrangement</w:t>
      </w:r>
    </w:p>
    <w:p>
      <w:pPr>
        <w:pStyle w:val="ListBullet"/>
        <w:spacing w:after="60"/>
      </w:pPr>
      <w:r>
        <w:rPr>
          <w:sz w:val="20"/>
        </w:rPr>
        <w:t>Audio production, mixing, and editing</w:t>
      </w:r>
    </w:p>
    <w:p>
      <w:pPr>
        <w:pStyle w:val="ListBullet"/>
        <w:spacing w:after="60"/>
      </w:pPr>
      <w:r>
        <w:rPr>
          <w:sz w:val="20"/>
        </w:rPr>
        <w:t>Music technology and digital publication</w:t>
      </w:r>
    </w:p>
    <w:p>
      <w:pPr>
        <w:pStyle w:val="ListBullet"/>
        <w:spacing w:after="60"/>
      </w:pPr>
      <w:r>
        <w:rPr>
          <w:sz w:val="20"/>
        </w:rPr>
        <w:t>Creative collaboration with a real audience</w:t>
      </w:r>
    </w:p>
    <w:p>
      <w:pPr>
        <w:pStyle w:val="Heading1"/>
      </w:pPr>
      <w:r>
        <w:rPr>
          <w:color w:val="0A0C10"/>
        </w:rPr>
        <w:t>Possible contribution levels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  <w:shd w:fill="11182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3168"/>
            <w:shd w:fill="11182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Best For</w:t>
            </w:r>
          </w:p>
        </w:tc>
        <w:tc>
          <w:tcPr>
            <w:tcW w:type="dxa" w:w="4752"/>
            <w:shd w:fill="111827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Possible Outputs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Micro Contribution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A short class activity, enrichment task, or club challenge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8"/>
              </w:rPr>
              <w:t>One 20-30 second melodic motif for a specific realm; One short ambient loop for exploration or title/menu use; One percussion or battle stinger that can be layered into gameplay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Standard Contribution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A 1-2 week mini-project or unit extension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8"/>
              </w:rPr>
              <w:t>A 60-90 second loopable realm theme; A small set of 3-5 UI/gameplay stingers; A recorded ensemble version of the Legendary Horizon main motif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Showcase Contribution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A capstone, exhibit, concert, or district-highlight project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8"/>
              </w:rPr>
              <w:t>A “Greece Bardic Conservatory” student soundtrack pack; A live or recorded performance tied to a district showcase; A yearly student-composer credit page inside the game</w:t>
            </w:r>
          </w:p>
        </w:tc>
      </w:tr>
    </w:tbl>
    <w:p/>
    <w:p>
      <w:pPr>
        <w:pStyle w:val="Heading1"/>
      </w:pPr>
      <w:r>
        <w:rPr>
          <w:color w:val="0A0C10"/>
        </w:rPr>
        <w:t>What Legendary Horizon would provide</w:t>
      </w:r>
    </w:p>
    <w:p>
      <w:pPr>
        <w:pStyle w:val="ListBullet"/>
        <w:spacing w:after="60"/>
      </w:pPr>
      <w:r>
        <w:rPr>
          <w:sz w:val="20"/>
        </w:rPr>
        <w:t>A short design brief with the world, audience, style, and constraints.</w:t>
      </w:r>
    </w:p>
    <w:p>
      <w:pPr>
        <w:pStyle w:val="ListBullet"/>
        <w:spacing w:after="60"/>
      </w:pPr>
      <w:r>
        <w:rPr>
          <w:sz w:val="20"/>
        </w:rPr>
        <w:t>Examples of the current visual/audio/technical direction.</w:t>
      </w:r>
    </w:p>
    <w:p>
      <w:pPr>
        <w:pStyle w:val="ListBullet"/>
        <w:spacing w:after="60"/>
      </w:pPr>
      <w:r>
        <w:rPr>
          <w:sz w:val="20"/>
        </w:rPr>
        <w:t>A simple submission folder and naming convention.</w:t>
      </w:r>
    </w:p>
    <w:p>
      <w:pPr>
        <w:pStyle w:val="ListBullet"/>
        <w:spacing w:after="60"/>
      </w:pPr>
      <w:r>
        <w:rPr>
          <w:sz w:val="20"/>
        </w:rPr>
        <w:t>A review process so only appropriate, polished contributions enter the classroom build.</w:t>
      </w:r>
    </w:p>
    <w:p>
      <w:pPr>
        <w:pStyle w:val="ListBullet"/>
        <w:spacing w:after="60"/>
      </w:pPr>
      <w:r>
        <w:rPr>
          <w:sz w:val="20"/>
        </w:rPr>
        <w:t>Student credit through an approved contributor list or showcase slide.</w:t>
      </w:r>
    </w:p>
    <w:p>
      <w:pPr>
        <w:pStyle w:val="Heading1"/>
      </w:pPr>
      <w:r>
        <w:rPr>
          <w:color w:val="0A0C10"/>
        </w:rPr>
        <w:t>What the department would provide</w:t>
      </w:r>
    </w:p>
    <w:p>
      <w:pPr>
        <w:pStyle w:val="ListBullet"/>
        <w:spacing w:after="60"/>
      </w:pPr>
      <w:r>
        <w:rPr>
          <w:sz w:val="20"/>
        </w:rPr>
        <w:t>Loopable WAV or high-quality MP3 export</w:t>
      </w:r>
    </w:p>
    <w:p>
      <w:pPr>
        <w:pStyle w:val="ListBullet"/>
        <w:spacing w:after="60"/>
      </w:pPr>
      <w:r>
        <w:rPr>
          <w:sz w:val="20"/>
        </w:rPr>
        <w:t>Student name/credit format approved by teacher and district</w:t>
      </w:r>
    </w:p>
    <w:p>
      <w:pPr>
        <w:pStyle w:val="ListBullet"/>
        <w:spacing w:after="60"/>
      </w:pPr>
      <w:r>
        <w:rPr>
          <w:sz w:val="20"/>
        </w:rPr>
        <w:t>A short reflection: What mood, realm, or career pathway did the music represent?</w:t>
      </w:r>
    </w:p>
    <w:p>
      <w:pPr>
        <w:pStyle w:val="Heading1"/>
      </w:pPr>
      <w:r>
        <w:rPr>
          <w:color w:val="0A0C10"/>
        </w:rPr>
        <w:t>Why students may care</w:t>
      </w:r>
    </w:p>
    <w:p>
      <w:pPr>
        <w:spacing w:after="120"/>
      </w:pPr>
      <w:r>
        <w:rPr>
          <w:b w:val="0"/>
          <w:i w:val="0"/>
          <w:sz w:val="21"/>
        </w:rPr>
        <w:t>Students get to compose for an authentic audience and see how music supports storytelling, pacing, emotion, and player motivation.</w:t>
      </w:r>
    </w:p>
    <w:p>
      <w:pPr>
        <w:spacing w:after="120"/>
      </w:pPr>
      <w:r>
        <w:rPr>
          <w:b w:val="0"/>
          <w:i w:val="0"/>
          <w:sz w:val="21"/>
        </w:rPr>
        <w:t>Instead of creating work only for a classroom grade, students can contribute to a real district learning experience that younger students will see, use, and remember.</w:t>
      </w:r>
    </w:p>
    <w:p>
      <w:pPr>
        <w:pStyle w:val="Heading1"/>
      </w:pPr>
      <w:r>
        <w:rPr>
          <w:color w:val="0A0C10"/>
        </w:rPr>
        <w:t>Suggested first ask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ED"/>
          </w:tcPr>
          <w:p>
            <w:r/>
            <w:r>
              <w:rPr>
                <w:b/>
                <w:color w:val="F59E0B"/>
                <w:sz w:val="21"/>
              </w:rPr>
              <w:t>Low-friction pilot request</w:t>
              <w:br/>
            </w:r>
            <w:r>
              <w:rPr>
                <w:sz w:val="20"/>
              </w:rPr>
              <w:t>Could a small group of students create one loopable 60-second theme for Aethelwood Farmsteads or the title screen as a pilot contribution?</w:t>
            </w:r>
          </w:p>
        </w:tc>
      </w:tr>
    </w:tbl>
    <w:p/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