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PingFang SC" w:hAnsi="PingFang SC" w:eastAsia="PingFang SC"/>
          <w:b/>
          <w:i w:val="0"/>
          <w:color w:val="1A1A1A"/>
          <w:sz w:val="40"/>
        </w:rPr>
        <w:t>ArchMind · 产品一页纸</w:t>
      </w:r>
    </w:p>
    <w:p>
      <w:pPr>
        <w:spacing w:before="280" w:after="80"/>
      </w:pPr>
      <w:r>
        <w:rPr>
          <w:rFonts w:ascii="PingFang SC" w:hAnsi="PingFang SC" w:eastAsia="PingFang SC"/>
          <w:b/>
          <w:i w:val="0"/>
          <w:color w:val="1A1A1A"/>
          <w:sz w:val="26"/>
        </w:rPr>
        <w:t>要解决的问题</w:t>
      </w:r>
    </w:p>
    <w:p>
      <w:pPr>
        <w:spacing w:before="0" w:after="80"/>
      </w:pPr>
      <w:r>
        <w:rPr>
          <w:rFonts w:ascii="PingFang SC" w:hAnsi="PingFang SC" w:eastAsia="PingFang SC"/>
          <w:b w:val="0"/>
          <w:i w:val="0"/>
          <w:color w:val="1A1A1A"/>
          <w:sz w:val="22"/>
        </w:rPr>
        <w:t>建筑学领域的信息检索有两个长期痛点：第一，规范条文互相引用、上下文关联紧密，传统关键词搜索很难精准定位到真正相关的条款；第二，学术研究与设计实践中需要反复查阅特定方向的文献和规范，但每次都要在 PDF 里手动翻找，效率极低。</w:t>
      </w:r>
    </w:p>
    <w:p>
      <w:pPr>
        <w:spacing w:before="0" w:after="80"/>
      </w:pPr>
      <w:r>
        <w:rPr>
          <w:rFonts w:ascii="PingFang SC" w:hAnsi="PingFang SC" w:eastAsia="PingFang SC"/>
          <w:b w:val="0"/>
          <w:i w:val="0"/>
          <w:color w:val="1A1A1A"/>
          <w:sz w:val="22"/>
        </w:rPr>
        <w:t>目标用户：建筑学研究生（查文献、写论文）、设计师助理（查规范、做方案对比）、以及希望把私有知识库转成可检索问答工具的建筑从业者。</w:t>
      </w:r>
    </w:p>
    <w:p>
      <w:pPr>
        <w:spacing w:before="80" w:after="80"/>
        <w:pBdr>
          <w:bottom w:val="single" w:sz="4" w:space="0" w:color="D1CEC8"/>
        </w:pBdr>
      </w:pPr>
    </w:p>
    <w:p>
      <w:pPr>
        <w:spacing w:before="280" w:after="80"/>
      </w:pPr>
      <w:r>
        <w:rPr>
          <w:rFonts w:ascii="PingFang SC" w:hAnsi="PingFang SC" w:eastAsia="PingFang SC"/>
          <w:b/>
          <w:i w:val="0"/>
          <w:color w:val="1A1A1A"/>
          <w:sz w:val="26"/>
        </w:rPr>
        <w:t>产品方案</w:t>
      </w:r>
    </w:p>
    <w:p>
      <w:pPr>
        <w:spacing w:before="0" w:after="80"/>
      </w:pPr>
      <w:r>
        <w:rPr>
          <w:rFonts w:ascii="PingFang SC" w:hAnsi="PingFang SC" w:eastAsia="PingFang SC"/>
          <w:b w:val="0"/>
          <w:i w:val="0"/>
          <w:color w:val="1A1A1A"/>
          <w:sz w:val="22"/>
        </w:rPr>
        <w:t>ArchMind 是一款 AI 建筑知识助手，分为两个阶段推进：</w:t>
      </w:r>
    </w:p>
    <w:p>
      <w:pPr>
        <w:spacing w:before="40" w:after="40"/>
      </w:pPr>
      <w:r>
        <w:rPr>
          <w:rFonts w:ascii="PingFang SC" w:hAnsi="PingFang SC" w:eastAsia="PingFang SC"/>
          <w:b/>
          <w:i w:val="0"/>
          <w:color w:val="1A1A1A"/>
          <w:sz w:val="22"/>
        </w:rPr>
        <w:t>v1.0 技术验证（已上线）：</w:t>
      </w:r>
      <w:r>
        <w:rPr>
          <w:rFonts w:ascii="PingFang SC" w:hAnsi="PingFang SC" w:eastAsia="PingFang SC"/>
          <w:b w:val="0"/>
          <w:i w:val="0"/>
          <w:color w:val="1A1A1A"/>
          <w:sz w:val="22"/>
        </w:rPr>
        <w:t>基于 RAG 架构搭建建筑知识检索助手。用户上传文档后系统自动向量化存入 ChromaDB，支持自然语言提问 → 检索最相关片段 → 大模型基于片段生成回答并标注引用来源。技术栈：Streamlit + ChromaDB + Groq Cloud API + Railway 部署。</w:t>
      </w:r>
    </w:p>
    <w:p>
      <w:pPr>
        <w:spacing w:before="40" w:after="40"/>
      </w:pPr>
      <w:r>
        <w:rPr>
          <w:rFonts w:ascii="PingFang SC" w:hAnsi="PingFang SC" w:eastAsia="PingFang SC"/>
          <w:b/>
          <w:i w:val="0"/>
          <w:color w:val="1A1A1A"/>
          <w:sz w:val="22"/>
        </w:rPr>
        <w:t>v2.0 产品设计（PRD + 原型已完成）：</w:t>
      </w:r>
      <w:r>
        <w:rPr>
          <w:rFonts w:ascii="PingFang SC" w:hAnsi="PingFang SC" w:eastAsia="PingFang SC"/>
          <w:b w:val="0"/>
          <w:i w:val="0"/>
          <w:color w:val="1A1A1A"/>
          <w:sz w:val="22"/>
        </w:rPr>
        <w:t>在检索基础上扩展为完整的案例分析工作流——资料上传 → AI 信息提取 → 分析维度选择 → 结构化报告生成 → 人工编辑导出。结合用户场景与竞品拆解，提炼 4 个高频场景，基于 MoSCoW 方法定义 MVP 功能，输出 PRD、用户流程图和 6 个低保真原型页面。</w:t>
      </w:r>
    </w:p>
    <w:p>
      <w:pPr>
        <w:spacing w:before="80" w:after="80"/>
        <w:pBdr>
          <w:bottom w:val="single" w:sz="4" w:space="0" w:color="D1CEC8"/>
        </w:pBdr>
      </w:pPr>
    </w:p>
    <w:p>
      <w:pPr>
        <w:spacing w:before="280" w:after="80"/>
      </w:pPr>
      <w:r>
        <w:rPr>
          <w:rFonts w:ascii="PingFang SC" w:hAnsi="PingFang SC" w:eastAsia="PingFang SC"/>
          <w:b/>
          <w:i w:val="0"/>
          <w:color w:val="1A1A1A"/>
          <w:sz w:val="26"/>
        </w:rPr>
        <w:t>关键产品决策</w:t>
      </w:r>
    </w:p>
    <w:p>
      <w:pPr>
        <w:spacing w:before="40" w:after="40"/>
      </w:pPr>
      <w:r>
        <w:rPr>
          <w:rFonts w:ascii="PingFang SC" w:hAnsi="PingFang SC" w:eastAsia="PingFang SC"/>
          <w:b/>
          <w:i w:val="0"/>
          <w:color w:val="1A1A1A"/>
          <w:sz w:val="22"/>
        </w:rPr>
        <w:t>为什么不一开始就喂规范全集？</w:t>
      </w:r>
    </w:p>
    <w:p>
      <w:pPr>
        <w:spacing w:before="0" w:after="80"/>
      </w:pPr>
      <w:r>
        <w:rPr>
          <w:rFonts w:ascii="PingFang SC" w:hAnsi="PingFang SC" w:eastAsia="PingFang SC"/>
          <w:b w:val="0"/>
          <w:i w:val="0"/>
          <w:color w:val="1A1A1A"/>
          <w:sz w:val="22"/>
        </w:rPr>
        <w:t>在原型阶段，规范全集会引入检索噪音——类似术语、重复条款、目录和附注会稀释精度；规范条文之间有大量上下文依赖（“按第 X 条执行”），chunk 切割后容易丢失引用关系；PDF 的扫描页、双栏排版和表格导致解析质量不稳定。因此 v1.0 选择「小批量、高质量、主题明确」的 5 份规范摘要版作为起点，优先验证问答效果，再逐步扩充。</w:t>
      </w:r>
    </w:p>
    <w:p>
      <w:pPr>
        <w:spacing w:before="40" w:after="40"/>
      </w:pPr>
      <w:r>
        <w:rPr>
          <w:rFonts w:ascii="PingFang SC" w:hAnsi="PingFang SC" w:eastAsia="PingFang SC"/>
          <w:b/>
          <w:i w:val="0"/>
          <w:color w:val="1A1A1A"/>
          <w:sz w:val="22"/>
        </w:rPr>
        <w:t>为什么用 Streamlit 而不是自己写前端？</w:t>
      </w:r>
    </w:p>
    <w:p>
      <w:pPr>
        <w:spacing w:before="0" w:after="80"/>
      </w:pPr>
      <w:r>
        <w:rPr>
          <w:rFonts w:ascii="PingFang SC" w:hAnsi="PingFang SC" w:eastAsia="PingFang SC"/>
          <w:b w:val="0"/>
          <w:i w:val="0"/>
          <w:color w:val="1A1A1A"/>
          <w:sz w:val="22"/>
        </w:rPr>
        <w:t>原型阶段优先验证可行性，Streamlit 一行前端代码都不用写，纯 Python 就能搭出可用的界面。后续规模化可以考虑换成更好的前端方案。</w:t>
      </w:r>
    </w:p>
    <w:p>
      <w:pPr>
        <w:spacing w:before="40" w:after="40"/>
      </w:pPr>
      <w:r>
        <w:rPr>
          <w:rFonts w:ascii="PingFang SC" w:hAnsi="PingFang SC" w:eastAsia="PingFang SC"/>
          <w:b/>
          <w:i w:val="0"/>
          <w:color w:val="1A1A1A"/>
          <w:sz w:val="22"/>
        </w:rPr>
        <w:t>为什么用 ChromaDB 而不是 Pinecone？</w:t>
      </w:r>
    </w:p>
    <w:p>
      <w:pPr>
        <w:spacing w:before="0" w:after="80"/>
      </w:pPr>
      <w:r>
        <w:rPr>
          <w:rFonts w:ascii="PingFang SC" w:hAnsi="PingFang SC" w:eastAsia="PingFang SC"/>
          <w:b w:val="0"/>
          <w:i w:val="0"/>
          <w:color w:val="1A1A1A"/>
          <w:sz w:val="22"/>
        </w:rPr>
        <w:t>ChromaDB 开源、本地运行、零成本，适合原型阶段快速验证。Pinecone 是商业云方案，并发强但需要付费，等数据规模和用户量上去后再迁移。</w:t>
      </w:r>
    </w:p>
    <w:p>
      <w:pPr>
        <w:spacing w:before="80" w:after="80"/>
        <w:pBdr>
          <w:bottom w:val="single" w:sz="4" w:space="0" w:color="D1CEC8"/>
        </w:pBdr>
      </w:pPr>
    </w:p>
    <w:p>
      <w:pPr>
        <w:spacing w:before="280" w:after="80"/>
      </w:pPr>
      <w:r>
        <w:rPr>
          <w:rFonts w:ascii="PingFang SC" w:hAnsi="PingFang SC" w:eastAsia="PingFang SC"/>
          <w:b/>
          <w:i w:val="0"/>
          <w:color w:val="1A1A1A"/>
          <w:sz w:val="26"/>
        </w:rPr>
        <w:t>当前状态</w:t>
      </w:r>
    </w:p>
    <w:p>
      <w:pPr>
        <w:spacing w:before="0" w:after="40"/>
        <w:ind w:left="397" w:hanging="198"/>
      </w:pPr>
      <w:r>
        <w:rPr>
          <w:rFonts w:ascii="PingFang SC" w:hAnsi="PingFang SC" w:eastAsia="PingFang SC"/>
          <w:b w:val="0"/>
          <w:i w:val="0"/>
          <w:color w:val="1A1A1A"/>
          <w:sz w:val="22"/>
        </w:rPr>
        <w:t xml:space="preserve">·  </w:t>
      </w:r>
      <w:r>
        <w:rPr>
          <w:rFonts w:ascii="PingFang SC" w:hAnsi="PingFang SC" w:eastAsia="PingFang SC"/>
          <w:b w:val="0"/>
          <w:i w:val="0"/>
          <w:color w:val="1A1A1A"/>
          <w:sz w:val="22"/>
        </w:rPr>
        <w:t>v1.0 RAG 检索助手已上线，部署于 Railway</w:t>
      </w:r>
    </w:p>
    <w:p>
      <w:pPr>
        <w:spacing w:before="0" w:after="40"/>
        <w:ind w:left="397" w:hanging="198"/>
      </w:pPr>
      <w:r>
        <w:t>·  当前目录：17 份资料（13 TXT + 4 PDF）</w:t>
      </w:r>
    </w:p>
    <w:p>
      <w:pPr>
        <w:spacing w:before="0" w:after="40"/>
        <w:ind w:left="397" w:hanging="198"/>
      </w:pPr>
      <w:r>
        <w:rPr>
          <w:rFonts w:ascii="PingFang SC" w:hAnsi="PingFang SC" w:eastAsia="PingFang SC"/>
          <w:b w:val="0"/>
          <w:i w:val="0"/>
          <w:color w:val="1A1A1A"/>
          <w:sz w:val="22"/>
        </w:rPr>
        <w:t xml:space="preserve">·  </w:t>
      </w:r>
      <w:r>
        <w:rPr>
          <w:rFonts w:ascii="PingFang SC" w:hAnsi="PingFang SC" w:eastAsia="PingFang SC"/>
          <w:b w:val="0"/>
          <w:i w:val="0"/>
          <w:color w:val="1A1A1A"/>
          <w:sz w:val="22"/>
        </w:rPr>
        <w:t>支持 .txt / .md / .pdf 多格式文档上传、自动向量化和溯源问答</w:t>
      </w:r>
    </w:p>
    <w:p>
      <w:pPr>
        <w:spacing w:before="0" w:after="40"/>
        <w:ind w:left="397" w:hanging="198"/>
      </w:pPr>
      <w:r>
        <w:rPr>
          <w:rFonts w:ascii="PingFang SC" w:hAnsi="PingFang SC" w:eastAsia="PingFang SC"/>
          <w:b w:val="0"/>
          <w:i w:val="0"/>
          <w:color w:val="1A1A1A"/>
          <w:sz w:val="22"/>
        </w:rPr>
        <w:t xml:space="preserve">·  </w:t>
      </w:r>
      <w:r>
        <w:rPr>
          <w:rFonts w:ascii="PingFang SC" w:hAnsi="PingFang SC" w:eastAsia="PingFang SC"/>
          <w:b w:val="0"/>
          <w:i w:val="0"/>
          <w:color w:val="1A1A1A"/>
          <w:sz w:val="22"/>
        </w:rPr>
        <w:t>支持本地模型（Ollama）和线上模型（Groq Cloud API）双模式切换</w:t>
      </w:r>
    </w:p>
    <w:p>
      <w:pPr>
        <w:spacing w:before="0" w:after="40"/>
        <w:ind w:left="397" w:hanging="198"/>
      </w:pPr>
      <w:r>
        <w:rPr>
          <w:rFonts w:ascii="PingFang SC" w:hAnsi="PingFang SC" w:eastAsia="PingFang SC"/>
          <w:b w:val="0"/>
          <w:i w:val="0"/>
          <w:color w:val="1A1A1A"/>
          <w:sz w:val="22"/>
        </w:rPr>
        <w:t xml:space="preserve">·  </w:t>
      </w:r>
      <w:r>
        <w:rPr>
          <w:rFonts w:ascii="PingFang SC" w:hAnsi="PingFang SC" w:eastAsia="PingFang SC"/>
          <w:b w:val="0"/>
          <w:i w:val="0"/>
          <w:color w:val="1A1A1A"/>
          <w:sz w:val="22"/>
        </w:rPr>
        <w:t>v2.0 产品方案已完成：PRD、用户流程图、6 个低保真原型页面</w:t>
      </w:r>
    </w:p>
    <w:p>
      <w:pPr>
        <w:spacing w:before="0" w:after="40"/>
        <w:ind w:left="397" w:hanging="198"/>
      </w:pPr>
      <w:r>
        <w:rPr>
          <w:rFonts w:ascii="PingFang SC" w:hAnsi="PingFang SC" w:eastAsia="PingFang SC"/>
          <w:b w:val="0"/>
          <w:i w:val="0"/>
          <w:color w:val="1A1A1A"/>
          <w:sz w:val="22"/>
        </w:rPr>
        <w:t xml:space="preserve">·  </w:t>
      </w:r>
      <w:r>
        <w:rPr>
          <w:rFonts w:ascii="PingFang SC" w:hAnsi="PingFang SC" w:eastAsia="PingFang SC"/>
          <w:b w:val="0"/>
          <w:i w:val="0"/>
          <w:color w:val="1A1A1A"/>
          <w:sz w:val="22"/>
        </w:rPr>
        <w:t>下一步：扩充规范库、增加跨文档对比检索、落地 v2.0 案例分析工作流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