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微软雅黑"/>
          <w:b/>
          <w:color w:val="14181F"/>
          <w:sz w:val="44"/>
        </w:rPr>
        <w:t>ArchMind 用户画像与使用场景</w:t>
      </w:r>
    </w:p>
    <w:p>
      <w:pPr>
        <w:ind w:left="340"/>
      </w:pPr>
      <w:r>
        <w:rPr>
          <w:rFonts w:ascii="Microsoft YaHei" w:hAnsi="Microsoft YaHei" w:eastAsia="微软雅黑"/>
          <w:b w:val="0"/>
          <w:color w:val="5C6773"/>
          <w:sz w:val="20"/>
        </w:rPr>
        <w:t>版本 v1.0 ｜ 2026-09-08 ｜ 来源于产品一页纸与 PRD 的既有定义，不虚构未验证数据</w:t>
      </w:r>
    </w:p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一、目标用户（优先级分层）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优先级</w:t>
            </w:r>
          </w:p>
        </w:tc>
        <w:tc>
          <w:tcPr>
            <w:tcW w:type="dxa" w:w="2351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用户</w:t>
            </w:r>
          </w:p>
        </w:tc>
        <w:tc>
          <w:tcPr>
            <w:tcW w:type="dxa" w:w="2351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核心诉求</w:t>
            </w:r>
          </w:p>
        </w:tc>
        <w:tc>
          <w:tcPr>
            <w:tcW w:type="dxa" w:w="2351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典型痛点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P0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建筑学研究生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写论文、做课程汇报、读文献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规范条文关联性强、文献查阅耗时长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P1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设计师助理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日常设计查规范、出方案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查一条规范平均 8.6 分钟、怕查错版本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P2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建筑从业者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复核规范、准备汇报材料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规范多而杂、废止标准混杂难判断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二、高频使用场景（v2.0 沉淀的 4 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场景</w:t>
            </w:r>
          </w:p>
        </w:tc>
        <w:tc>
          <w:tcPr>
            <w:tcW w:type="dxa" w:w="3135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用户动作</w:t>
            </w:r>
          </w:p>
        </w:tc>
        <w:tc>
          <w:tcPr>
            <w:tcW w:type="dxa" w:w="3135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期望产出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课程汇报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上传案例资料 → 生成汇报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结构化报告 + 汇报提纲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论文分析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上传文献/规范 → 分析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分维度分析 + 来源标注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作品集图注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上传方案图纸/说明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图注文案 + 设计策略提炼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设计策略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上传项目资料 → 问策略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设计策略清单 + 依据出处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三、核心使用路径</w:t>
      </w:r>
    </w:p>
    <w:p>
      <w:pPr>
        <w:pStyle w:val="ListNumber"/>
        <w:ind w:left="425"/>
      </w:pPr>
      <w:r>
        <w:rPr>
          <w:rFonts w:ascii="Microsoft YaHei" w:hAnsi="Microsoft YaHei" w:eastAsia="微软雅黑"/>
          <w:b w:val="0"/>
          <w:sz w:val="21"/>
        </w:rPr>
        <w:t>上传资料（规范 TXT/PDF、文献、案例）</w:t>
      </w:r>
    </w:p>
    <w:p>
      <w:pPr>
        <w:pStyle w:val="ListNumber"/>
        <w:ind w:left="425"/>
      </w:pPr>
      <w:r>
        <w:rPr>
          <w:rFonts w:ascii="Microsoft YaHei" w:hAnsi="Microsoft YaHei" w:eastAsia="微软雅黑"/>
          <w:b w:val="0"/>
          <w:sz w:val="21"/>
        </w:rPr>
        <w:t>用自然语言提问，获取带来源片段的回答（v1.0 已实现）</w:t>
      </w:r>
    </w:p>
    <w:p>
      <w:pPr>
        <w:pStyle w:val="ListNumber"/>
        <w:ind w:left="425"/>
      </w:pPr>
      <w:r>
        <w:rPr>
          <w:rFonts w:ascii="Microsoft YaHei" w:hAnsi="Microsoft YaHei" w:eastAsia="微软雅黑"/>
          <w:b w:val="0"/>
          <w:sz w:val="21"/>
        </w:rPr>
        <w:t>选择用途与维度，生成场景化分析报告（v2.0 规划中）</w:t>
      </w:r>
    </w:p>
    <w:p>
      <w:pPr>
        <w:pStyle w:val="ListNumber"/>
        <w:ind w:left="425"/>
      </w:pPr>
      <w:r>
        <w:rPr>
          <w:rFonts w:ascii="Microsoft YaHei" w:hAnsi="Microsoft YaHei" w:eastAsia="微软雅黑"/>
          <w:b w:val="0"/>
          <w:sz w:val="21"/>
        </w:rPr>
        <w:t>导出报告 / 保存到我的案例库（v2.0 规划中）</w:t>
      </w:r>
    </w:p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四、使用边界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 w:val="0"/>
          <w:sz w:val="21"/>
        </w:rPr>
        <w:t>回答基于用户已上传的资料，不保证覆盖全部现行规范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 w:val="0"/>
          <w:sz w:val="21"/>
        </w:rPr>
        <w:t>用于个人学习研究；涉及合规决策时需人工核对原文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