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commentRangeStart w:id="0"/>
      <w:r>
        <w:t>1 引言</w:t>
      </w:r>
      <w:commentRangeEnd w:id="0"/>
      <w:r>
        <w:rPr>
          <w:rStyle w:val="CommentReference"/>
        </w:rPr>
        <w:commentReference w:id="0"/>
      </w:r>
    </w:p>
    <w:p>
      <w:pPr>
        <w:ind w:firstLine="420"/>
        <w:jc w:val="both"/>
      </w:pPr>
      <w:commentRangeStart w:id="1"/>
      <w:r>
        <w:rPr>
          <w:rFonts w:ascii="Times New Roman" w:hAnsi="Times New Roman" w:eastAsia="宋体"/>
        </w:rPr>
        <w:t>面向智能交通、移动机器人和现场视觉分析等应用，DNN 推理结果只有在规定时间内返回才具有服务价值。将推理服务部署在靠近数据源的网络边缘，能够减少对远程云中心的依赖，并为实时感知与决策提供邻近算力。然而，边缘设备的资源规模有限，请求又会持续到达，因此系统不仅要完成推理，还需要在长期运行中控制请求级时效风险 [1]–[4]。</w:t>
      </w:r>
      <w:commentRangeEnd w:id="1"/>
      <w:r>
        <w:rPr>
          <w:rStyle w:val="CommentReference"/>
        </w:rPr>
        <w:commentReference w:id="1"/>
      </w:r>
    </w:p>
    <w:p>
      <w:pPr>
        <w:ind w:firstLine="420"/>
        <w:jc w:val="both"/>
      </w:pPr>
      <w:commentRangeStart w:id="2"/>
      <w:r>
        <w:rPr>
          <w:rFonts w:ascii="Times New Roman" w:hAnsi="Times New Roman" w:eastAsia="宋体"/>
        </w:rPr>
        <w:t>实际边缘推理平台通常同时承载多种 DNN 服务。不同模型具有不同的计算开销、到达过程和服务级目标（Service-Level Objective, SLO）；本文用模型级请求 deadline 表示该目标，并将超时完成记为一次服务级协议（Service-Level Agreement, SLA）违约。与此同时，高吞吐 GPU 与低功耗片上系统等执行设备在服务能力、能耗和 batch 扩展效率上存在差异，单一设备难以在所有模型和 batch size 下始终占优。因此，多 DNN 队列、异构执行设备与模型级 deadline 需要被统一考虑 [4]–[7]。</w:t>
      </w:r>
      <w:commentRangeEnd w:id="2"/>
      <w:r>
        <w:rPr>
          <w:rStyle w:val="CommentReference"/>
        </w:rPr>
        <w:commentReference w:id="2"/>
      </w:r>
    </w:p>
    <w:p>
      <w:pPr>
        <w:ind w:firstLine="420"/>
        <w:jc w:val="both"/>
      </w:pPr>
      <w:commentRangeStart w:id="3"/>
      <w:r>
        <w:rPr>
          <w:rFonts w:ascii="Times New Roman" w:hAnsi="Times New Roman" w:eastAsia="宋体"/>
        </w:rPr>
        <w:t>动态组批使上述问题进一步转化为紧密耦合的在线联合决策。等待更多同类请求可以形成较大 batch，提升硬件并行度并分摊执行开销，但等待本身会消耗 deadline 裕量；立即派发小 batch 可缩短排队时间，却可能降低吞吐并增加并发竞争。调度器还需决定服务哪个 DNN 队列、将 batch 派发到哪台设备，以及当前是否执行 WAIT。一次动作不仅影响当前请求，还会改变后续队列积压、设备槽位和其他模型的可服务机会 [5], [8], [9]。</w:t>
      </w:r>
      <w:commentRangeEnd w:id="3"/>
      <w:r>
        <w:rPr>
          <w:rStyle w:val="CommentReference"/>
        </w:rPr>
        <w:commentReference w:id="3"/>
      </w:r>
    </w:p>
    <w:p>
      <w:pPr>
        <w:ind w:firstLine="420"/>
        <w:jc w:val="both"/>
      </w:pPr>
      <w:commentRangeStart w:id="4"/>
      <w:r>
        <w:rPr>
          <w:rFonts w:ascii="Times New Roman" w:hAnsi="Times New Roman" w:eastAsia="宋体"/>
        </w:rPr>
        <w:t>这一联合决策必须在持续变化的运行条件下在线完成。短时间内的请求到达强度和模型组成可能发生波动，共置 batch 之间的资源竞争也会使实际执行时间偏离孤立运行时的基准水平 [2], [3], [10], [11]。调度器无法预先获知未来请求，也不能读取真实负载系数、场景标签或隐藏干扰变量，只能依据当前队列与设备状态、已经揭示的到达事件以及已完成 batch 的执行反馈不断更新决策。</w:t>
      </w:r>
      <w:commentRangeEnd w:id="4"/>
      <w:r>
        <w:rPr>
          <w:rStyle w:val="CommentReference"/>
        </w:rPr>
        <w:commentReference w:id="4"/>
      </w:r>
    </w:p>
    <w:p>
      <w:pPr>
        <w:ind w:firstLine="420"/>
        <w:jc w:val="both"/>
      </w:pPr>
      <w:commentRangeStart w:id="5"/>
      <w:r>
        <w:rPr>
          <w:rFonts w:ascii="Times New Roman" w:hAnsi="Times New Roman" w:eastAsia="宋体"/>
        </w:rPr>
        <w:t>本文聚焦请求到达边缘入口后的在线服务调度。每个请求的 DNN 类型和模型级 deadline 由应用预先给定，调度器不改变模型、不执行网络切分、输入压缩或精度调整，也不分配无线资源。系统按照 DNN 类型维护 FIFO 队列，并由一个集中式调度器管理多个异构执行设备。默认 deployment-aware 实验会为所有方法叠加同分布、动作无关的客户端上行时延，以评估其对 SLA slack 的消耗；该上行不进入策略状态、动作或训练目标。</w:t>
      </w:r>
      <w:commentRangeEnd w:id="5"/>
      <w:r>
        <w:rPr>
          <w:rStyle w:val="CommentReference"/>
        </w:rPr>
        <w:commentReference w:id="5"/>
      </w:r>
    </w:p>
    <w:p>
      <w:pPr>
        <w:ind w:firstLine="420"/>
        <w:jc w:val="both"/>
      </w:pPr>
      <w:commentRangeStart w:id="6"/>
      <w:r>
        <w:rPr>
          <w:rFonts w:ascii="Times New Roman" w:hAnsi="Times New Roman" w:eastAsia="宋体"/>
        </w:rPr>
        <w:t>现有工作已经从动态 batching、并发控制、异构执行、deadline-aware queue ordering 和学习式调度等角度改善边缘 DNN serving，因此本文不把采用 DRL 或 batching 本身视为创新。仍待解决的是三个彼此耦合的问题：第一，单个事件需要在 DNN 队列、执行设备、batch size 与 WAIT 之间作出结构化联合选择，而扁平动作编号难以表达候选动作之间共享的模型、设备与服务属性；第二，到达强度、模型 mix 和共运行性能可能随时间变化，调度器却不能读取未来请求、真实负载系数或隐藏干扰，只能依赖已揭示到达和完成反馈；第三，模型级 deadline 违约、连续尾部风险和单位请求能耗预算具有不同语义，固定标量奖励难以同时刻画。本文据此建立统一系统模型，并设计 RiskBudget-SAC。</w:t>
      </w:r>
      <w:commentRangeEnd w:id="6"/>
      <w:r>
        <w:rPr>
          <w:rStyle w:val="CommentReference"/>
        </w:rPr>
        <w:commentReference w:id="6"/>
      </w:r>
    </w:p>
    <w:p>
      <w:pPr>
        <w:ind w:firstLine="420"/>
        <w:jc w:val="both"/>
      </w:pPr>
      <w:commentRangeStart w:id="7"/>
      <w:r>
        <w:rPr>
          <w:rFonts w:ascii="Times New Roman" w:hAnsi="Times New Roman" w:eastAsia="宋体"/>
          <w:b w:val="0"/>
        </w:rPr>
        <w:t xml:space="preserve">为解决上述问题，本文提出 </w:t>
      </w:r>
      <w:r>
        <w:rPr>
          <w:rFonts w:ascii="Times New Roman" w:hAnsi="Times New Roman" w:eastAsia="宋体"/>
          <w:b/>
        </w:rPr>
        <w:t>RiskBudget-SAC</w:t>
      </w:r>
      <w:r>
        <w:rPr>
          <w:rFonts w:ascii="Times New Roman" w:hAnsi="Times New Roman" w:eastAsia="宋体"/>
          <w:b w:val="0"/>
        </w:rPr>
        <w:t>，一种面向异构多 DNN 边缘推理服务的事件驱动在线调度框架。其一，调度器不把离散动作仅视为互不相关的编号，而是显式编码候选动作对应的 DNN 队列、执行设备、batch size、WAIT 标识及基准服务属性，并结合动作局部状态进行候选评分。其二，调度器仅利用已揭示的到达事件和已完成 batch 反馈估计当前负载与执行偏移，在压力或 deadline 紧迫时选择性收缩可选动作集合；训练阶段再通过模型级 SLA 对偶、物理时间尾风险代理和 profile-estimated 能耗预算共同塑造策略。该设计不读取未来请求、真实负载系数、场景标签或隐藏干扰变量。</w:t>
      </w:r>
      <w:commentRangeEnd w:id="7"/>
      <w:r>
        <w:rPr>
          <w:rStyle w:val="CommentReference"/>
        </w:rPr>
        <w:commentReference w:id="7"/>
      </w:r>
    </w:p>
    <w:p>
      <w:pPr>
        <w:ind w:firstLine="420"/>
        <w:jc w:val="both"/>
      </w:pPr>
      <w:commentRangeStart w:id="8"/>
      <w:r>
        <w:rPr>
          <w:rFonts w:ascii="Times New Roman" w:hAnsi="Times New Roman" w:eastAsia="宋体"/>
        </w:rPr>
        <w:t>总体而言，本文研究 edge-ingress 多 DNN 服务中的队列选择、设备路由、动态组批与等待控制，目标是在预定义的 profile-estimated 单位请求能耗预算内降低请求级 SLA 违约率和 p99 时延。本文不将经验 p99 直接作为可微训练目标，而是利用连续尾部风险代理改善其在线表现。主要贡献如下：</w:t>
      </w:r>
      <w:commentRangeEnd w:id="8"/>
      <w:r>
        <w:rPr>
          <w:rStyle w:val="CommentReference"/>
        </w:rPr>
        <w:commentReference w:id="8"/>
      </w:r>
    </w:p>
    <w:p>
      <w:pPr>
        <w:pStyle w:val="16"/>
        <w:ind w:firstLine="0"/>
        <w:jc w:val="both"/>
      </w:pPr>
      <w:commentRangeStart w:id="9"/>
      <w:r>
        <w:rPr>
          <w:rFonts w:ascii="Times New Roman" w:hAnsi="Times New Roman" w:eastAsia="宋体"/>
          <w:b/>
        </w:rPr>
        <w:t xml:space="preserve">问题与系统建模。 </w:t>
      </w:r>
      <w:r>
        <w:rPr>
          <w:rFonts w:ascii="Times New Roman" w:hAnsi="Times New Roman" w:eastAsia="宋体"/>
        </w:rPr>
        <w:t>本文构建一个面向 edge-ingress 多 DNN 服务的事件驱动联合调度模型，在每个事件上统一选择 DNN 队列、异构执行设备、batch size 或 WAIT，并显式描述模型级 deadline、设备并发槽位、时变到达、隐藏运行时减速和 profile-estimated 单位请求能耗预算。</w:t>
      </w:r>
      <w:commentRangeEnd w:id="9"/>
      <w:r>
        <w:rPr>
          <w:rStyle w:val="CommentReference"/>
        </w:rPr>
        <w:commentReference w:id="9"/>
      </w:r>
    </w:p>
    <w:p>
      <w:pPr>
        <w:pStyle w:val="16"/>
        <w:ind w:firstLine="0"/>
        <w:jc w:val="both"/>
      </w:pPr>
      <w:commentRangeStart w:id="10"/>
      <w:r>
        <w:rPr>
          <w:rFonts w:ascii="Times New Roman" w:hAnsi="Times New Roman" w:eastAsia="宋体"/>
          <w:b/>
        </w:rPr>
        <w:t xml:space="preserve">动作语义对齐的 SAC 调度器。 </w:t>
      </w:r>
      <w:r>
        <w:rPr>
          <w:rFonts w:ascii="Times New Roman" w:hAnsi="Times New Roman" w:eastAsia="宋体"/>
        </w:rPr>
        <w:t>本文设计 action-semantic Actor 与 action-aligned twin Critics，将候选动作的模型、设备、batch 和基准服务属性与其局部队列、设备状态对齐后逐动作评分，以利用联合动作之间可共享的结构，而不是仅学习扁平动作编号。</w:t>
      </w:r>
      <w:commentRangeEnd w:id="10"/>
      <w:r>
        <w:rPr>
          <w:rStyle w:val="CommentReference"/>
        </w:rPr>
        <w:commentReference w:id="10"/>
      </w:r>
    </w:p>
    <w:p>
      <w:pPr>
        <w:pStyle w:val="16"/>
        <w:ind w:firstLine="0"/>
        <w:jc w:val="both"/>
      </w:pPr>
      <w:commentRangeStart w:id="11"/>
      <w:r>
        <w:rPr>
          <w:rFonts w:ascii="Times New Roman" w:hAnsi="Times New Roman" w:eastAsia="宋体"/>
          <w:b/>
        </w:rPr>
        <w:t xml:space="preserve">基于已揭示反馈的风险控制。 </w:t>
      </w:r>
      <w:r>
        <w:rPr>
          <w:rFonts w:ascii="Times New Roman" w:hAnsi="Times New Roman" w:eastAsia="宋体"/>
        </w:rPr>
        <w:t>本文利用在线到达估计和已完成 batch 反馈构造选择性 Risk Gate，并通过模型级 SLA 对偶、尾风险代理和估计能耗预算协同训练策略。历史反馈编码、tail-focused replay 与物理时间 n-step 作为该机制的状态和训练实现，不被单独视为核心创新。</w:t>
      </w:r>
      <w:commentRangeEnd w:id="11"/>
      <w:r>
        <w:rPr>
          <w:rStyle w:val="CommentReference"/>
        </w:rPr>
        <w:commentReference w:id="11"/>
      </w:r>
    </w:p>
    <w:p>
      <w:pPr>
        <w:pStyle w:val="16"/>
        <w:ind w:firstLine="0"/>
        <w:jc w:val="both"/>
      </w:pPr>
      <w:commentRangeStart w:id="12"/>
      <w:r>
        <w:rPr>
          <w:rFonts w:ascii="Times New Roman" w:hAnsi="Times New Roman" w:eastAsia="宋体"/>
          <w:b/>
        </w:rPr>
        <w:t xml:space="preserve">严格边界下的实验验证。 </w:t>
      </w:r>
      <w:r>
        <w:rPr>
          <w:rFonts w:ascii="Times New Roman" w:hAnsi="Times New Roman" w:eastAsia="宋体"/>
        </w:rPr>
        <w:t>在一个冻结的 400-episode 训练检查点上，本文使用每条件 5 个 paired evaluation seeds，并在默认动作无关上行配置下对测试条件等权宏平均。相对各指标对应的最强 baseline，RiskBudget-SAC 在静态和动态场景中的 SLA 违约率分别平均降低约 18.3% 和 9.35%，deployment-aware p99 分别平均降低约 32.2% 和 34.6%，同时将 profile-estimated 单位请求能耗保持在约 0.109587 J/request 的预设预算内。该结果不表示所有负载或所有指标均占优，也不代表多训练种子稳定性。</w:t>
      </w:r>
      <w:commentRangeEnd w:id="12"/>
      <w:r>
        <w:rPr>
          <w:rStyle w:val="CommentReference"/>
        </w:rPr>
        <w:commentReference w:id="12"/>
      </w:r>
    </w:p>
    <w:p w14:paraId="63E06099">
      <w:pPr>
        <w:pStyle w:val="4"/>
        <w:pageBreakBefore w:val="0"/>
      </w:pPr>
      <w:commentRangeStart w:id="13"/>
      <w:r>
        <w:t>参考文献</w:t>
      </w:r>
      <w:commentRangeEnd w:id="13"/>
      <w:r>
        <w:rPr>
          <w:rStyle w:val="CommentReference"/>
        </w:rPr>
        <w:commentReference w:id="13"/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[1] D. Spatharakis, C. Pelekis, D. Dechouniotis, and S. Papavasileiou, “A task offloading and batch scheduling framework for edge-assisted inference,” Future Gener. Comput. Syst., vol. 175, Art. no. 108030, 2026, doi: 10.1016/j.future.2025.108030.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[2] Z. Zhao, N. Ling, N. Guan, and G. Xing, “Miriam: Exploiting elastic kernels for real-time multi-DNN inference on edge GPU,” in Proc. 21st ACM Conf. Embedded Networked Sensor Syst. (SenSys), 2023, pp. 97–110, doi: 10.1145/3625687.3625789.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[3] T.-T. Nguyen, L. Liebe, N.-Q. Tau, Y. Wu, J. Cheng, and D. Lee, “OctopInf: Workload-aware inference serving for edge video analytics,” in Proc. IEEE Int. Conf. Pervasive Comput. Commun. (PerCom), 2025, pp. 128–137, doi: 10.1109/PerCom64205.2025.00032.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[4] N. Ling, W. Lu, X. Huang, Z. Zhao, N. Guan, Z. Yan, and G. Xing, “Time-sensitive multi-DNN inference on CPU-GPU edge platforms,” IEEE Trans. Mobile Comput., vol. 25, no. 5, pp. 6168–6184, May 2026, doi: 10.1109/TMC.2025.3636950.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[5] Z. Zhang, Y. Zhao, H. Li, and J. Liu, “BCEdge: SLO-aware DNN inference services with adaptive batch-concurrent scheduling on edge devices,” IEEE Trans. Netw. Service Manag., vol. 21, no. 4, pp. 4131–4145, 2024, doi: 10.1109/TNSM.2024.3409701.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[6] S. Heidari, M. Ghasemi, Y. G. Kim, C.-J. Wu, and S. B. K. Vrudhula, “Elastic execution of multi-tenant DNNs on heterogeneous edge MPSoCs,” in Proc. IEEE/ACM Symp. Edge Comput. (SEC), 2024, pp. 279–291, doi: 10.1109/SEC62691.2024.00029.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[7] Q. Liang, W. A. Hanafy, N. Bashir, A. Ali-Eldin, D. Irwin, and P. Shenoy, “Dělen: Enabling flexible and adaptive model-serving for multi-tenant edge AI,” in Proc. ACM/IEEE Conf. Internet Things Design Implementation (IoTDI), 2023, pp. 209–221, doi: 10.1145/3576842.3582375.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[8] G. Zhang, Y. Zhang, X. Huang, and W. Zhang, “Coinf: QoS-aware DRL-based inference task scheduling framework with batching processing,” ACM Trans. Embedded Comput. Syst., vol. 25, no. 1, Art. no. 3, 20 pp., Jan. 2026, doi: 10.1145/3777373.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[9] J. Cao, X. Li, Q. Liu, T. Han, N. Zhang, and W. Shi, “EdgeServing: Deadline-aware multi-DNN serving at the edge,” arXiv:2605.05527, 2026.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[10] H. Zhang, Y. Tang, A. Khandelwal, and I. Stoica, “SHEPHERD: Serving DNNs in the wild,” in Proc. 20th USENIX Symp. Networked Syst. Design Implementation (NSDI), 2023, pp. 787–808.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[11] Y. Kim, I. Kim, K. Choi, J. Ahn, J. Park, and J. Huh, “Interference-aware DNN serving on heterogeneous processors in edge systems,” in Proc. IEEE 42nd Int. Conf. Comput. Design (ICCD), 2024, pp. 199–206, doi: 10.1109/ICCD63220.2024.00038.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【整体重组】本章由原稿重组为 8 个递进正文段落和 4 条贡献，并统一方法名、研究边界和实验声明口径。</w:t>
      </w:r>
    </w:p>
  </w:comment>
  <w:comment w:id="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【压缩重写】合并原“云—边缘背景”和“实时 DNN 推理价值”两段，删除泛化云边科普及无线优化暗示，直接从请求级时效风险切入。</w:t>
      </w:r>
    </w:p>
  </w:comment>
  <w:comment w:id="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【内容统一】重写多 DNN、异构执行设备、模型级 deadline/SLO/SLA 与 profile-estimated execution energy 的定义，使术语与第三章一致。</w:t>
      </w:r>
    </w:p>
  </w:comment>
  <w:comment w:id="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【段落合并】合并原动态组批段和重复的联合决策段，集中说明 queue–device–batch–WAIT 的耦合关系及当前动作对后续队列和设备槽位的影响。</w:t>
      </w:r>
    </w:p>
  </w:comment>
  <w:comment w:id="4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【信息边界】补充时变到达、模型组成变化与隐藏运行时偏移，并明确策略只能使用当前状态、已揭示到达和已完成 batch 反馈。</w:t>
      </w:r>
    </w:p>
  </w:comment>
  <w:comment w:id="5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【新增研究边界】明确核心系统从 edge ingress 开始，不涉及模型切分、输入压缩、精度调整、无线资源分配或端边云卸载；客户端上行仅作为动作无关评估附加项。</w:t>
      </w:r>
    </w:p>
  </w:comment>
  <w:comment w:id="6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【研究空缺重写】将原逐篇论文罗列改为三个耦合缺口：结构化联合动作、已揭示反馈适应，以及模型级 SLA、尾部风险与估计能耗预算的统一控制；同时明确 batching 和 DRL 本身不是创新。</w:t>
      </w:r>
    </w:p>
  </w:comment>
  <w:comment w:id="7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【方法概览收敛】统一方法名为 RiskBudget-SAC，只保留“动作语义评分”和“基于已揭示反馈的风险控制”两个核心设计；GRU、EWMA、replay、n-step 等降为配套实现。</w:t>
      </w:r>
    </w:p>
  </w:comment>
  <w:comment w:id="8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【目标收紧】将目标统一为在 profile-estimated 单位请求能耗预算内降低请求级 SLA 违约率和 p99；明确经验 p99 通过连续 tail-risk surrogate 间接改善，而非直接优化。</w:t>
      </w:r>
    </w:p>
  </w:comment>
  <w:comment w:id="9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1 重写】贡献改为 edge-ingress 事件驱动的 queue–device–batch–WAIT 联合调度模型，并与第三章式 (5)–(17) 对齐。</w:t>
      </w:r>
    </w:p>
  </w:comment>
  <w:comment w:id="1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2 重写】仅强调 action-semantic Actor 和 action-aligned Twin Critics 对动作共享结构的利用，不把 SAC 或 Twin Critic 本身表述为新理论。</w:t>
      </w:r>
    </w:p>
  </w:comment>
  <w:comment w:id="1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3 重写】将 Risk Gate、模型级 SLA 对偶、尾风险代理和估计能耗预算组织为一项整体机制；历史编码和 replay 等不再单列为创新。</w:t>
      </w:r>
    </w:p>
  </w:comment>
  <w:comment w:id="1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4 校准】补充冻结检查点、paired evaluation seeds、动作无关上行、宏平均和“各指标对应最强 baseline”等边界，避免把环境评估重复误写成多训练种子或全场景全面占优。</w:t>
      </w:r>
    </w:p>
  </w:comment>
  <w:comment w:id="1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【引用核对】参考文献条目沿用原稿，未新增或改写文献事实；正文引用位置按重组后的论证顺序重新对齐。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论文中文修订稿 · Introduction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3CE4"/>
    <w:rsid w:val="1E002D45"/>
    <w:rsid w:val="2C6170A5"/>
    <w:rsid w:val="2D0D13E0"/>
    <w:rsid w:val="3C1165F2"/>
    <w:rsid w:val="4E9B3DFF"/>
    <w:rsid w:val="671F5543"/>
    <w:rsid w:val="782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12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 w:before="30" w:after="30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3250</Words>
  <Characters>5108</Characters>
  <Lines>0</Lines>
  <Paragraphs>0</Paragraphs>
  <TotalTime>494</TotalTime>
  <ScaleCrop>false</ScaleCrop>
  <LinksUpToDate>false</LinksUpToDate>
  <CharactersWithSpaces>5595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</dc:creator>
  <dc:description>generated by python-docx</dc:description>
  <cp:lastModifiedBy>.</cp:lastModifiedBy>
  <dcterms:modified xsi:type="dcterms:W3CDTF">2026-07-26T06:52:59Z</dcterms:modified>
  <dc:subject>多 DNN 边缘推理在线调度</dc:subject>
  <dc:title>Introduction 中文修订稿</dc:title>
  <cp:revision>1</cp:revision>
  <cp:keywords>edge inference, dynamic batching, SLA, tail latency, discrete SAC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