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keepNext/>
        <w:ind w:firstLine="0"/>
      </w:pPr>
      <w:commentRangeStart w:id="0"/>
      <w:r>
        <w:t>1 引言</w:t>
      </w:r>
      <w:commentRangeEnd w:id="0"/>
      <w:r>
        <w:rPr>
          <w:rStyle w:val="CommentReference"/>
        </w:rPr>
        <w:commentReference w:id="0"/>
      </w:r>
    </w:p>
    <w:p>
      <w:pPr>
        <w:ind w:firstLine="420"/>
        <w:jc w:val="both"/>
      </w:pPr>
      <w:commentRangeStart w:id="1"/>
      <w:r>
        <w:rPr>
          <w:rFonts w:ascii="Times New Roman" w:hAnsi="Times New Roman" w:eastAsia="宋体"/>
        </w:rPr>
        <w:t>面向智能交通、移动机器人和现场视觉分析等应用，DNN 推理结果只有在规定时间内返回才具有服务价值。将推理服务部署在靠近数据源的网络边缘，能够减少对远程云中心的依赖，并为实时感知与决策提供邻近算力。然而，边缘设备的资源规模有限，请求又会持续到达，因此系统不仅要完成推理，还需要在长期运行中控制请求级时效风险 [1]–[4]。</w:t>
      </w:r>
      <w:commentRangeEnd w:id="1"/>
      <w:r>
        <w:rPr>
          <w:rStyle w:val="CommentReference"/>
        </w:rPr>
        <w:commentReference w:id="1"/>
      </w:r>
    </w:p>
    <w:p>
      <w:pPr>
        <w:ind w:firstLine="420"/>
        <w:jc w:val="both"/>
      </w:pPr>
      <w:commentRangeStart w:id="2"/>
      <w:r>
        <w:rPr>
          <w:rFonts w:ascii="Times New Roman" w:hAnsi="Times New Roman" w:eastAsia="宋体"/>
        </w:rPr>
        <w:t>实际边缘推理平台通常同时承载多种 DNN 服务。不同模型具有不同的计算开销、到达过程和服务级目标（Service-Level Objective, SLO）；本文用模型级请求 deadline 表示该目标，并将超时完成记为一次服务级协议（Service-Level Agreement, SLA）违约。与此同时，高吞吐 GPU 与低功耗片上系统等执行设备在服务能力、能耗和 batch 扩展效率上存在差异，单一设备难以在所有模型和 batch size 下始终占优。因此，多 DNN 队列、异构执行设备与模型级 deadline 需要被统一考虑 [4]–[7]。</w:t>
      </w:r>
      <w:commentRangeEnd w:id="2"/>
      <w:r>
        <w:rPr>
          <w:rStyle w:val="CommentReference"/>
        </w:rPr>
        <w:commentReference w:id="2"/>
      </w:r>
    </w:p>
    <w:p>
      <w:pPr>
        <w:ind w:firstLine="420"/>
        <w:jc w:val="both"/>
      </w:pPr>
      <w:commentRangeStart w:id="3"/>
      <w:r>
        <w:rPr>
          <w:rFonts w:ascii="Times New Roman" w:hAnsi="Times New Roman" w:eastAsia="宋体"/>
        </w:rPr>
        <w:t>动态组批使上述问题进一步转化为紧密耦合的在线联合决策。等待更多同类请求可以形成较大 batch，提升硬件并行度并分摊执行开销，但等待本身会消耗 deadline 裕量；立即派发小 batch 可缩短排队时间，却可能降低吞吐并增加并发竞争。调度器还需决定服务哪个 DNN 队列、将 batch 派发到哪台设备，以及当前是否执行 WAIT。一次动作不仅影响当前请求，还会改变后续队列积压、设备槽位和其他模型的可服务机会 [5], [8], [9]。</w:t>
      </w:r>
      <w:commentRangeEnd w:id="3"/>
      <w:r>
        <w:rPr>
          <w:rStyle w:val="CommentReference"/>
        </w:rPr>
        <w:commentReference w:id="3"/>
      </w:r>
    </w:p>
    <w:p>
      <w:pPr>
        <w:ind w:firstLine="420"/>
        <w:jc w:val="both"/>
      </w:pPr>
      <w:commentRangeStart w:id="4"/>
      <w:r>
        <w:rPr>
          <w:rFonts w:ascii="Times New Roman" w:hAnsi="Times New Roman" w:eastAsia="宋体"/>
        </w:rPr>
        <w:t>这一联合决策必须在持续变化的运行条件下在线完成。短时间内的请求到达强度和模型组成可能发生波动，共置 batch 之间的资源竞争也会使实际执行时间偏离孤立运行时的基准水平 [2], [3], [10], [11]。调度器无法预先获知未来请求，也不能读取真实负载系数、场景标签或隐藏干扰变量，只能依据当前队列与设备状态、已经揭示的到达事件以及已完成 batch 的执行反馈不断更新决策。</w:t>
      </w:r>
      <w:commentRangeEnd w:id="4"/>
      <w:r>
        <w:rPr>
          <w:rStyle w:val="CommentReference"/>
        </w:rPr>
        <w:commentReference w:id="4"/>
      </w:r>
    </w:p>
    <w:p>
      <w:pPr>
        <w:ind w:firstLine="420"/>
        <w:jc w:val="both"/>
      </w:pPr>
      <w:commentRangeStart w:id="14"/>
      <w:r>
        <w:rPr>
          <w:rFonts w:ascii="Times New Roman" w:hAnsi="Times New Roman" w:eastAsia="宋体"/>
        </w:rPr>
        <w:t>在此类服务中，仅优化平均时延或总体吞吐并不足以完整反映请求级服务质量。不同 DNN 的 deadline、执行开销和到达压力存在差异，少量长期排队或受到并发阻塞的请求可能不会显著改变系统均值，却会抬高尾部时延并增加模型级 SLA 违约。特别是在模型比例变化和突发到达条件下，系统级平均指标还可能掩盖紧 deadline 模型的服务退化。另一方面，若为降低时延而持续选择高性能设备或激进派发小 batch，也可能带来额外执行能耗。因此，在线调度需要同时关注模型级 SLA 违约风险和 p99 时延，并在给定能耗预算内协调及时服务与资源开销 [5], [8], [9]。</w:t>
      </w:r>
      <w:commentRangeEnd w:id="14"/>
      <w:r>
        <w:rPr>
          <w:rStyle w:val="CommentReference"/>
        </w:rPr>
        <w:commentReference w:id="14"/>
      </w:r>
    </w:p>
    <w:p>
      <w:pPr>
        <w:ind w:firstLine="420"/>
        <w:jc w:val="both"/>
      </w:pPr>
      <w:commentRangeStart w:id="5"/>
      <w:r>
        <w:rPr>
          <w:rFonts w:ascii="Times New Roman" w:hAnsi="Times New Roman" w:eastAsia="宋体"/>
        </w:rPr>
        <w:t>本文聚焦请求到达边缘入口后的在线服务调度。每个请求的 DNN 类型和模型级 deadline 由应用预先给定，调度器不改变模型、不执行网络切分、输入压缩或精度调整，也不分配无线资源。系统按照 DNN 类型维护 FIFO 队列，并由一个集中式调度器管理多个异构执行设备。默认 deployment-aware 实验会为所有方法叠加同分布、动作无关的客户端上行时延，以评估其对 SLA slack 的消耗；该上行不进入策略状态、动作或训练目标。</w:t>
      </w:r>
      <w:commentRangeEnd w:id="5"/>
      <w:r>
        <w:rPr>
          <w:rStyle w:val="CommentReference"/>
        </w:rPr>
        <w:commentReference w:id="5"/>
      </w:r>
    </w:p>
    <w:p>
      <w:pPr>
        <w:ind w:firstLine="420"/>
        <w:jc w:val="both"/>
      </w:pPr>
      <w:commentRangeStart w:id="6"/>
      <w:r>
        <w:rPr>
          <w:rFonts w:ascii="Times New Roman" w:hAnsi="Times New Roman" w:eastAsia="宋体"/>
        </w:rPr>
        <w:t>现有工作已经从动态 batching、并发控制、异构执行、deadline-aware queue ordering 和学习式调度等角度改善边缘 DNN serving，因此本文不把采用 DRL 或 batching 本身视为创新。仍待解决的是三个彼此耦合的问题：第一，单个事件需要在 DNN 队列、执行设备、batch size 与 WAIT 之间作出结构化联合选择，而扁平动作编号难以表达候选动作之间共享的模型、设备与服务属性；第二，到达强度、模型 mix 和共运行性能可能随时间变化，调度器却不能读取未来请求、真实负载系数或隐藏干扰，只能依赖已揭示到达和完成反馈；第三，模型级 deadline 违约、连续尾部风险和单位请求能耗预算具有不同语义，固定标量奖励难以同时刻画。本文据此建立统一系统模型，并设计 RiskBudget-SAC。</w:t>
      </w:r>
      <w:commentRangeEnd w:id="6"/>
      <w:r>
        <w:rPr>
          <w:rStyle w:val="CommentReference"/>
        </w:rPr>
        <w:commentReference w:id="6"/>
      </w:r>
    </w:p>
    <w:p>
      <w:pPr>
        <w:ind w:firstLine="420"/>
        <w:jc w:val="both"/>
      </w:pPr>
      <w:commentRangeStart w:id="7"/>
      <w:r>
        <w:rPr>
          <w:rFonts w:ascii="Times New Roman" w:hAnsi="Times New Roman" w:eastAsia="宋体"/>
          <w:b w:val="0"/>
        </w:rPr>
        <w:t xml:space="preserve">为解决上述问题，本文提出 </w:t>
      </w:r>
      <w:r>
        <w:rPr>
          <w:rFonts w:ascii="Times New Roman" w:hAnsi="Times New Roman" w:eastAsia="宋体"/>
          <w:b/>
        </w:rPr>
        <w:t>RiskBudget-SAC</w:t>
      </w:r>
      <w:r>
        <w:rPr>
          <w:rFonts w:ascii="Times New Roman" w:hAnsi="Times New Roman" w:eastAsia="宋体"/>
          <w:b w:val="0"/>
        </w:rPr>
        <w:t>，一种面向异构多 DNN 边缘推理服务的事件驱动在线调度框架。其一，调度器不把离散动作仅视为互不相关的编号，而是显式编码候选动作对应的 DNN 队列、执行设备、batch size、WAIT 标识及基准服务属性，并结合动作局部状态进行候选评分。其二，调度器仅利用已揭示的到达事件和已完成 batch 反馈估计当前负载与执行偏移，在压力或 deadline 紧迫时选择性收缩可选动作集合；训练阶段再通过模型级 SLA 对偶、物理时间尾风险代理和 profile-estimated 能耗预算共同塑造策略。该设计不读取未来请求、真实负载系数、场景标签或隐藏干扰变量。</w:t>
      </w:r>
      <w:commentRangeEnd w:id="7"/>
      <w:r>
        <w:rPr>
          <w:rStyle w:val="CommentReference"/>
        </w:rPr>
        <w:commentReference w:id="7"/>
      </w:r>
    </w:p>
    <w:p>
      <w:pPr>
        <w:ind w:firstLine="420"/>
        <w:jc w:val="both"/>
      </w:pPr>
      <w:commentRangeStart w:id="8"/>
      <w:r>
        <w:rPr>
          <w:rFonts w:ascii="Times New Roman" w:hAnsi="Times New Roman" w:eastAsia="宋体"/>
        </w:rPr>
        <w:t>总体而言，本文研究 edge-ingress 多 DNN 服务中的队列选择、设备路由、动态组批与等待控制，目标是在预定义的 profile-estimated 单位请求能耗预算内降低请求级 SLA 违约率和 p99 时延。本文不将经验 p99 直接作为可微训练目标，而是利用连续尾部风险代理改善其在线表现。主要贡献如下：</w:t>
      </w:r>
      <w:commentRangeEnd w:id="8"/>
      <w:r>
        <w:rPr>
          <w:rStyle w:val="CommentReference"/>
        </w:rPr>
        <w:commentReference w:id="8"/>
      </w:r>
    </w:p>
    <w:p>
      <w:pPr>
        <w:pStyle w:val="16"/>
        <w:ind w:firstLine="0"/>
        <w:jc w:val="both"/>
      </w:pPr>
      <w:commentRangeStart w:id="9"/>
      <w:r>
        <w:rPr>
          <w:rFonts w:ascii="Times New Roman" w:hAnsi="Times New Roman" w:eastAsia="宋体"/>
          <w:b/>
        </w:rPr>
        <w:t xml:space="preserve">问题与系统建模。 </w:t>
      </w:r>
      <w:r>
        <w:rPr>
          <w:rFonts w:ascii="Times New Roman" w:hAnsi="Times New Roman" w:eastAsia="宋体"/>
        </w:rPr>
        <w:t>本文构建一个面向 edge-ingress 多 DNN 服务的事件驱动联合调度模型，在每个事件上统一选择 DNN 队列、异构执行设备、batch size 或 WAIT，并显式描述模型级 deadline、设备并发槽位、时变到达、隐藏运行时减速和 profile-estimated 单位请求能耗预算。</w:t>
      </w:r>
      <w:commentRangeEnd w:id="9"/>
      <w:r>
        <w:rPr>
          <w:rStyle w:val="CommentReference"/>
        </w:rPr>
        <w:commentReference w:id="9"/>
      </w:r>
    </w:p>
    <w:p>
      <w:pPr>
        <w:pStyle w:val="16"/>
        <w:ind w:firstLine="0"/>
        <w:jc w:val="both"/>
      </w:pPr>
      <w:commentRangeStart w:id="10"/>
      <w:r>
        <w:rPr>
          <w:rFonts w:ascii="Times New Roman" w:hAnsi="Times New Roman" w:eastAsia="宋体"/>
          <w:b/>
        </w:rPr>
        <w:t xml:space="preserve">动作语义对齐的 SAC 调度器。 </w:t>
      </w:r>
      <w:r>
        <w:rPr>
          <w:rFonts w:ascii="Times New Roman" w:hAnsi="Times New Roman" w:eastAsia="宋体"/>
        </w:rPr>
        <w:t>本文设计 action-semantic Actor 与 action-aligned twin Critics，将候选动作的模型、设备、batch 和基准服务属性与其局部队列、设备状态对齐后逐动作评分，以利用联合动作之间可共享的结构，而不是仅学习扁平动作编号。</w:t>
      </w:r>
      <w:commentRangeEnd w:id="10"/>
      <w:r>
        <w:rPr>
          <w:rStyle w:val="CommentReference"/>
        </w:rPr>
        <w:commentReference w:id="10"/>
      </w:r>
    </w:p>
    <w:p>
      <w:pPr>
        <w:pStyle w:val="16"/>
        <w:ind w:firstLine="0"/>
        <w:jc w:val="both"/>
      </w:pPr>
      <w:commentRangeStart w:id="11"/>
      <w:r>
        <w:rPr>
          <w:rFonts w:ascii="Times New Roman" w:hAnsi="Times New Roman" w:eastAsia="宋体"/>
          <w:b/>
        </w:rPr>
        <w:t xml:space="preserve">基于已揭示反馈的风险控制。 </w:t>
      </w:r>
      <w:r>
        <w:rPr>
          <w:rFonts w:ascii="Times New Roman" w:hAnsi="Times New Roman" w:eastAsia="宋体"/>
        </w:rPr>
        <w:t>本文利用在线到达估计和已完成 batch 反馈构造选择性 Risk Gate，并通过模型级 SLA 对偶、尾风险代理和估计能耗预算协同训练策略。历史反馈编码、tail-focused replay 与物理时间 n-step 作为该机制的状态和训练实现，不被单独视为核心创新。</w:t>
      </w:r>
      <w:commentRangeEnd w:id="11"/>
      <w:r>
        <w:rPr>
          <w:rStyle w:val="CommentReference"/>
        </w:rPr>
        <w:commentReference w:id="11"/>
      </w:r>
    </w:p>
    <w:p>
      <w:pPr>
        <w:pStyle w:val="16"/>
        <w:ind w:firstLine="0"/>
        <w:jc w:val="both"/>
      </w:pPr>
      <w:commentRangeStart w:id="12"/>
      <w:r>
        <w:rPr>
          <w:rFonts w:ascii="Times New Roman" w:hAnsi="Times New Roman" w:eastAsia="宋体"/>
          <w:b/>
        </w:rPr>
        <w:t xml:space="preserve">严格边界下的实验验证。 </w:t>
      </w:r>
      <w:r>
        <w:rPr>
          <w:rFonts w:ascii="Times New Roman" w:hAnsi="Times New Roman" w:eastAsia="宋体"/>
        </w:rPr>
        <w:t>在一个冻结的 400-episode 训练检查点上，本文使用每条件 5 个 paired evaluation seeds，并在默认动作无关上行配置下对测试条件等权宏平均。相对各指标对应的最强 baseline，RiskBudget-SAC 在静态和动态场景中的 SLA 违约率分别平均降低约 18.3% 和 9.35%，deployment-aware p99 分别平均降低约 32.2% 和 34.6%，同时将 profile-estimated 单位请求能耗保持在约 0.109587 J/request 的预设预算内。该结果不表示所有负载或所有指标均占优，也不代表多训练种子稳定性。</w:t>
      </w:r>
      <w:commentRangeEnd w:id="12"/>
      <w:r>
        <w:rPr>
          <w:rStyle w:val="CommentReference"/>
        </w:rPr>
        <w:commentReference w:id="12"/>
      </w:r>
    </w:p>
    <w:p w14:paraId="63E06099">
      <w:pPr>
        <w:pStyle w:val="4"/>
        <w:pageBreakBefore w:val="0"/>
      </w:pPr>
      <w:commentRangeStart w:id="13"/>
      <w:r>
        <w:t>参考文献</w:t>
      </w:r>
      <w:commentRangeEnd w:id="13"/>
      <w:r>
        <w:rPr>
          <w:rStyle w:val="CommentReference"/>
        </w:rPr>
        <w:commentReference w:id="13"/>
      </w:r>
    </w:p>
    <w:p>
      <w:pPr>
        <w:keepLines/>
        <w:spacing w:line="276" w:lineRule="auto" w:before="0" w:after="40"/>
        <w:ind w:left="420" w:hanging="420"/>
        <w:jc w:val="left"/>
      </w:pPr>
      <w:r>
        <w:rPr>
          <w:rFonts w:ascii="Times New Roman" w:hAnsi="Times New Roman" w:eastAsia="Times New Roman"/>
          <w:sz w:val="18"/>
        </w:rPr>
        <w:t>[1] D. Spatharakis, C. Pelekis, D. Dechouniotis, and S. Papavasileiou, “A task offloading and batch scheduling framework for edge-assisted inference,” Future Gener. Comput. Syst., vol. 175, Art. no. 108030, 2026, doi: 10.1016/j.future.2025.108030.</w:t>
      </w:r>
    </w:p>
    <w:p>
      <w:pPr>
        <w:keepLines/>
        <w:spacing w:line="276" w:lineRule="auto" w:before="0" w:after="40"/>
        <w:ind w:left="420" w:hanging="420"/>
        <w:jc w:val="left"/>
      </w:pPr>
      <w:r>
        <w:rPr>
          <w:rFonts w:ascii="Times New Roman" w:hAnsi="Times New Roman" w:eastAsia="Times New Roman"/>
          <w:sz w:val="18"/>
        </w:rPr>
        <w:t>[2] Z. Zhao, N. Ling, N. Guan, and G. Xing, “Miriam: Exploiting elastic kernels for real-time multi-DNN inference on edge GPU,” in Proc. 21st ACM Conf. Embedded Networked Sensor Syst. (SenSys), 2023, pp. 97–110, doi: 10.1145/3625687.3625789.</w:t>
      </w:r>
    </w:p>
    <w:p>
      <w:pPr>
        <w:keepLines/>
        <w:spacing w:line="276" w:lineRule="auto" w:before="0" w:after="40"/>
        <w:ind w:left="420" w:hanging="420"/>
        <w:jc w:val="left"/>
      </w:pPr>
      <w:r>
        <w:rPr>
          <w:rFonts w:ascii="Times New Roman" w:hAnsi="Times New Roman" w:eastAsia="Times New Roman"/>
          <w:sz w:val="18"/>
        </w:rPr>
        <w:t>[3] T.-T. Nguyen, L. Liebe, N.-Q. Tau, Y. Wu, J. Cheng, and D. Lee, “OctopInf: Workload-aware inference serving for edge video analytics,” in Proc. IEEE Int. Conf. Pervasive Comput. Commun. (PerCom), 2025, pp. 128–137, doi: 10.1109/PerCom64205.2025.00032.</w:t>
      </w:r>
    </w:p>
    <w:p>
      <w:pPr>
        <w:keepLines/>
        <w:spacing w:line="276" w:lineRule="auto" w:before="0" w:after="40"/>
        <w:ind w:left="420" w:hanging="420"/>
        <w:jc w:val="left"/>
      </w:pPr>
      <w:r>
        <w:rPr>
          <w:rFonts w:ascii="Times New Roman" w:hAnsi="Times New Roman" w:eastAsia="Times New Roman"/>
          <w:sz w:val="18"/>
        </w:rPr>
        <w:t>[4] N. Ling, W. Lu, X. Huang, Z. Zhao, N. Guan, Z. Yan, and G. Xing, “Time-sensitive multi-DNN inference on CPU-GPU edge platforms,” IEEE Trans. Mobile Comput., vol. 25, no. 5, pp. 6168–6184, May 2026, doi: 10.1109/TMC.2025.3636950.</w:t>
      </w:r>
    </w:p>
    <w:p>
      <w:pPr>
        <w:keepLines/>
        <w:spacing w:line="276" w:lineRule="auto" w:before="0" w:after="40"/>
        <w:ind w:left="420" w:hanging="420"/>
        <w:jc w:val="left"/>
      </w:pPr>
      <w:r>
        <w:rPr>
          <w:rFonts w:ascii="Times New Roman" w:hAnsi="Times New Roman" w:eastAsia="Times New Roman"/>
          <w:sz w:val="18"/>
        </w:rPr>
        <w:t>[5] Z. Zhang, Y. Zhao, H. Li, and J. Liu, “BCEdge: SLO-aware DNN inference services with adaptive batch-concurrent scheduling on edge devices,” IEEE Trans. Netw. Service Manag., vol. 21, no. 4, pp. 4131–4145, 2024, doi: 10.1109/TNSM.2024.3409701.</w:t>
      </w:r>
    </w:p>
    <w:p>
      <w:pPr>
        <w:keepLines/>
        <w:spacing w:line="276" w:lineRule="auto" w:before="0" w:after="40"/>
        <w:ind w:left="420" w:hanging="420"/>
        <w:jc w:val="left"/>
      </w:pPr>
      <w:r>
        <w:rPr>
          <w:rFonts w:ascii="Times New Roman" w:hAnsi="Times New Roman" w:eastAsia="Times New Roman"/>
          <w:sz w:val="18"/>
        </w:rPr>
        <w:t>[6] S. Heidari, M. Ghasemi, Y. G. Kim, C.-J. Wu, and S. B. K. Vrudhula, “Elastic execution of multi-tenant DNNs on heterogeneous edge MPSoCs,” in Proc. IEEE/ACM Symp. Edge Comput. (SEC), 2024, pp. 279–291, doi: 10.1109/SEC62691.2024.00029.</w:t>
      </w:r>
    </w:p>
    <w:p>
      <w:pPr>
        <w:keepLines/>
        <w:spacing w:line="276" w:lineRule="auto" w:before="0" w:after="40"/>
        <w:ind w:left="420" w:hanging="420"/>
        <w:jc w:val="left"/>
      </w:pPr>
      <w:r>
        <w:rPr>
          <w:rFonts w:ascii="Times New Roman" w:hAnsi="Times New Roman" w:eastAsia="Times New Roman"/>
          <w:sz w:val="18"/>
        </w:rPr>
        <w:t>[7] Q. Liang, W. A. Hanafy, N. Bashir, A. Ali-Eldin, D. Irwin, and P. Shenoy, “Dělen: Enabling flexible and adaptive model-serving for multi-tenant edge AI,” in Proc. ACM/IEEE Conf. Internet Things Design Implementation (IoTDI), 2023, pp. 209–221, doi: 10.1145/3576842.3582375.</w:t>
      </w:r>
    </w:p>
    <w:p>
      <w:pPr>
        <w:keepLines/>
        <w:spacing w:line="276" w:lineRule="auto" w:before="0" w:after="40"/>
        <w:ind w:left="420" w:hanging="420"/>
        <w:jc w:val="left"/>
      </w:pPr>
      <w:r>
        <w:rPr>
          <w:rFonts w:ascii="Times New Roman" w:hAnsi="Times New Roman" w:eastAsia="Times New Roman"/>
          <w:sz w:val="18"/>
        </w:rPr>
        <w:t>[8] G. Zhang, Y. Zhang, X. Huang, and W. Zhang, “Coinf: QoS-aware DRL-based inference task scheduling framework with batching processing,” ACM Trans. Embedded Comput. Syst., vol. 25, no. 1, Art. no. 3, 20 pp., Jan. 2026, doi: 10.1145/3777373.</w:t>
      </w:r>
    </w:p>
    <w:p>
      <w:pPr>
        <w:keepLines/>
        <w:spacing w:line="276" w:lineRule="auto" w:before="0" w:after="40"/>
        <w:ind w:left="420" w:hanging="420"/>
        <w:jc w:val="left"/>
      </w:pPr>
      <w:r>
        <w:rPr>
          <w:rFonts w:ascii="Times New Roman" w:hAnsi="Times New Roman" w:eastAsia="Times New Roman"/>
          <w:sz w:val="18"/>
        </w:rPr>
        <w:t>[9] J. Cao, X. Li, Q. Liu, T. Han, N. Zhang, and W. Shi, “EdgeServing: Deadline-aware multi-DNN serving at the edge,” arXiv:2605.05527, 2026.</w:t>
      </w:r>
    </w:p>
    <w:p>
      <w:pPr>
        <w:keepLines/>
        <w:spacing w:line="276" w:lineRule="auto" w:before="0" w:after="40"/>
        <w:ind w:left="420" w:hanging="420"/>
        <w:jc w:val="left"/>
      </w:pPr>
      <w:r>
        <w:rPr>
          <w:rFonts w:ascii="Times New Roman" w:hAnsi="Times New Roman" w:eastAsia="Times New Roman"/>
          <w:sz w:val="18"/>
        </w:rPr>
        <w:t>[10] H. Zhang, Y. Tang, A. Khandelwal, and I. Stoica, “SHEPHERD: Serving DNNs in the wild,” in Proc. 20th USENIX Symp. Networked Syst. Design Implementation (NSDI), 2023, pp. 787–808.</w:t>
      </w:r>
    </w:p>
    <w:p>
      <w:pPr>
        <w:keepLines/>
        <w:spacing w:line="276" w:lineRule="auto" w:before="0" w:after="40"/>
        <w:ind w:left="420" w:hanging="420"/>
        <w:jc w:val="left"/>
      </w:pPr>
      <w:r>
        <w:rPr>
          <w:rFonts w:ascii="Times New Roman" w:hAnsi="Times New Roman" w:eastAsia="Times New Roman"/>
          <w:sz w:val="18"/>
        </w:rPr>
        <w:t>[11] Y. Kim, I. Kim, K. Choi, J. Ahn, J. Park, and J. Huh, “Interference-aware DNN serving on heterogeneous processors in edge systems,” in Proc. IEEE 42nd Int. Conf. Comput. Design (ICCD), 2024, pp. 199–206, doi: 10.1109/ICCD63220.2024.00038.</w:t>
      </w:r>
    </w:p>
    <w:sectPr>
      <w:headerReference r:id="rId5" w:type="default"/>
      <w:footerReference r:id="rId6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Codex" w:initials="CX" w:date="2026-07-29T10:01:23Z">
    <w:p>
      <w:pPr>
        <w:pStyle w:val="CommentText"/>
      </w:pPr>
      <w:r>
        <w:rPr>
          <w:rStyle w:val="CommentReference"/>
        </w:rPr>
        <w:annotationRef/>
      </w:r>
      <w:r>
        <w:t>【整体重组】本章由原稿重组为 8 个递进正文段落和 4 条贡献，并统一方法名、研究边界和实验声明口径。</w:t>
      </w:r>
    </w:p>
  </w:comment>
  <w:comment w:id="1" w:author="Codex" w:initials="CX" w:date="2026-07-29T10:01:23Z">
    <w:p>
      <w:pPr>
        <w:pStyle w:val="CommentText"/>
      </w:pPr>
      <w:r>
        <w:rPr>
          <w:rStyle w:val="CommentReference"/>
        </w:rPr>
        <w:annotationRef/>
      </w:r>
      <w:r>
        <w:t>【压缩重写】合并原“云—边缘背景”和“实时 DNN 推理价值”两段，删除泛化云边科普及无线优化暗示，直接从请求级时效风险切入。</w:t>
      </w:r>
    </w:p>
  </w:comment>
  <w:comment w:id="2" w:author="Codex" w:initials="CX" w:date="2026-07-29T10:01:23Z">
    <w:p>
      <w:pPr>
        <w:pStyle w:val="CommentText"/>
      </w:pPr>
      <w:r>
        <w:rPr>
          <w:rStyle w:val="CommentReference"/>
        </w:rPr>
        <w:annotationRef/>
      </w:r>
      <w:r>
        <w:t>【内容统一】重写多 DNN、异构执行设备、模型级 deadline/SLO/SLA 与 profile-estimated execution energy 的定义，使术语与第三章一致。</w:t>
      </w:r>
    </w:p>
  </w:comment>
  <w:comment w:id="3" w:author="Codex" w:initials="CX" w:date="2026-07-29T10:01:23Z">
    <w:p>
      <w:pPr>
        <w:pStyle w:val="CommentText"/>
      </w:pPr>
      <w:r>
        <w:rPr>
          <w:rStyle w:val="CommentReference"/>
        </w:rPr>
        <w:annotationRef/>
      </w:r>
      <w:r>
        <w:t>【段落合并】合并原动态组批段和重复的联合决策段，集中说明 queue–device–batch–WAIT 的耦合关系及当前动作对后续队列和设备槽位的影响。</w:t>
      </w:r>
    </w:p>
  </w:comment>
  <w:comment w:id="4" w:author="Codex" w:initials="CX" w:date="2026-07-29T10:01:23Z">
    <w:p>
      <w:pPr>
        <w:pStyle w:val="CommentText"/>
      </w:pPr>
      <w:r>
        <w:rPr>
          <w:rStyle w:val="CommentReference"/>
        </w:rPr>
        <w:annotationRef/>
      </w:r>
      <w:r>
        <w:t>【信息边界】补充时变到达、模型组成变化与隐藏运行时偏移，并明确策略只能使用当前状态、已揭示到达和已完成 batch 反馈。</w:t>
      </w:r>
    </w:p>
  </w:comment>
  <w:comment w:id="5" w:author="Codex" w:initials="CX" w:date="2026-07-29T10:01:23Z">
    <w:p>
      <w:pPr>
        <w:pStyle w:val="CommentText"/>
      </w:pPr>
      <w:r>
        <w:rPr>
          <w:rStyle w:val="CommentReference"/>
        </w:rPr>
        <w:annotationRef/>
      </w:r>
      <w:r>
        <w:t>【新增研究边界】明确核心系统从 edge ingress 开始，不涉及模型切分、输入压缩、精度调整、无线资源分配或端边云卸载；客户端上行仅作为动作无关评估附加项。</w:t>
      </w:r>
    </w:p>
  </w:comment>
  <w:comment w:id="6" w:author="Codex" w:initials="CX" w:date="2026-07-29T10:01:23Z">
    <w:p>
      <w:pPr>
        <w:pStyle w:val="CommentText"/>
      </w:pPr>
      <w:r>
        <w:rPr>
          <w:rStyle w:val="CommentReference"/>
        </w:rPr>
        <w:annotationRef/>
      </w:r>
      <w:r>
        <w:t>【研究空缺重写】将原逐篇论文罗列改为三个耦合缺口：结构化联合动作、已揭示反馈适应，以及模型级 SLA、尾部风险与估计能耗预算的统一控制；同时明确 batching 和 DRL 本身不是创新。</w:t>
      </w:r>
    </w:p>
  </w:comment>
  <w:comment w:id="7" w:author="Codex" w:initials="CX" w:date="2026-07-29T10:01:23Z">
    <w:p>
      <w:pPr>
        <w:pStyle w:val="CommentText"/>
      </w:pPr>
      <w:r>
        <w:rPr>
          <w:rStyle w:val="CommentReference"/>
        </w:rPr>
        <w:annotationRef/>
      </w:r>
      <w:r>
        <w:t>【方法概览收敛】统一方法名为 RiskBudget-SAC，只保留“动作语义评分”和“基于已揭示反馈的风险控制”两个核心设计；GRU、EWMA、replay、n-step 等降为配套实现。</w:t>
      </w:r>
    </w:p>
  </w:comment>
  <w:comment w:id="8" w:author="Codex" w:initials="CX" w:date="2026-07-29T10:01:23Z">
    <w:p>
      <w:pPr>
        <w:pStyle w:val="CommentText"/>
      </w:pPr>
      <w:r>
        <w:rPr>
          <w:rStyle w:val="CommentReference"/>
        </w:rPr>
        <w:annotationRef/>
      </w:r>
      <w:r>
        <w:t>【目标收紧】将目标统一为在 profile-estimated 单位请求能耗预算内降低请求级 SLA 违约率和 p99；明确经验 p99 通过连续 tail-risk surrogate 间接改善，而非直接优化。</w:t>
      </w:r>
    </w:p>
  </w:comment>
  <w:comment w:id="9" w:author="Codex" w:initials="CX" w:date="2026-07-29T10:01:23Z">
    <w:p>
      <w:pPr>
        <w:pStyle w:val="CommentText"/>
      </w:pPr>
      <w:r>
        <w:rPr>
          <w:rStyle w:val="CommentReference"/>
        </w:rPr>
        <w:annotationRef/>
      </w:r>
      <w:r>
        <w:t>【贡献 1 重写】贡献改为 edge-ingress 事件驱动的 queue–device–batch–WAIT 联合调度模型，并与第三章式 (5)–(17) 对齐。</w:t>
      </w:r>
    </w:p>
  </w:comment>
  <w:comment w:id="10" w:author="Codex" w:initials="CX" w:date="2026-07-29T10:01:23Z">
    <w:p>
      <w:pPr>
        <w:pStyle w:val="CommentText"/>
      </w:pPr>
      <w:r>
        <w:rPr>
          <w:rStyle w:val="CommentReference"/>
        </w:rPr>
        <w:annotationRef/>
      </w:r>
      <w:r>
        <w:t>【贡献 2 重写】仅强调 action-semantic Actor 和 action-aligned Twin Critics 对动作共享结构的利用，不把 SAC 或 Twin Critic 本身表述为新理论。</w:t>
      </w:r>
    </w:p>
  </w:comment>
  <w:comment w:id="11" w:author="Codex" w:initials="CX" w:date="2026-07-29T10:01:23Z">
    <w:p>
      <w:pPr>
        <w:pStyle w:val="CommentText"/>
      </w:pPr>
      <w:r>
        <w:rPr>
          <w:rStyle w:val="CommentReference"/>
        </w:rPr>
        <w:annotationRef/>
      </w:r>
      <w:r>
        <w:t>【贡献 3 重写】将 Risk Gate、模型级 SLA 对偶、尾风险代理和估计能耗预算组织为一项整体机制；历史编码和 replay 等不再单列为创新。</w:t>
      </w:r>
    </w:p>
  </w:comment>
  <w:comment w:id="12" w:author="Codex" w:initials="CX" w:date="2026-07-29T10:01:23Z">
    <w:p>
      <w:pPr>
        <w:pStyle w:val="CommentText"/>
      </w:pPr>
      <w:r>
        <w:rPr>
          <w:rStyle w:val="CommentReference"/>
        </w:rPr>
        <w:annotationRef/>
      </w:r>
      <w:r>
        <w:t>【贡献 4 校准】补充冻结检查点、paired evaluation seeds、动作无关上行、宏平均和“各指标对应最强 baseline”等边界，避免把环境评估重复误写成多训练种子或全场景全面占优。</w:t>
      </w:r>
    </w:p>
  </w:comment>
  <w:comment w:id="13" w:author="Codex" w:initials="CX" w:date="2026-07-29T10:01:23Z">
    <w:p>
      <w:pPr>
        <w:pStyle w:val="CommentText"/>
      </w:pPr>
      <w:r>
        <w:rPr>
          <w:rStyle w:val="CommentReference"/>
        </w:rPr>
        <w:annotationRef/>
      </w:r>
      <w:r>
        <w:t>【引用核对】参考文献条目沿用原稿，未新增或改写文献事实；正文引用位置按重组后的论证顺序重新对齐。</w:t>
      </w:r>
    </w:p>
  </w:comment>
  <w:comment w:id="14" w:author="Codex" w:initials="CX" w:date="2026-07-29T12:37:35Z">
    <w:p>
      <w:pPr>
        <w:pStyle w:val="CommentText"/>
      </w:pPr>
      <w:r>
        <w:rPr>
          <w:rStyle w:val="CommentReference"/>
        </w:rPr>
        <w:annotationRef/>
      </w:r>
      <w:r>
        <w:t>【新增论证】为补足引言的论证厚度，本段解释了平均时延或吞吐为何不足以刻画多 DNN 请求级服务质量，并建立模型级 SLA、p99 与估计能耗预算之间的逻辑联系。未新增参考文献，仅复用原稿已有的 [5]、[8] 和 [9]。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FA4BFE">
    <w:pPr>
      <w:pStyle w:val="24"/>
      <w:jc w:val="right"/>
    </w:pPr>
    <w:r>
      <w:rPr>
        <w:rFonts w:ascii="Calibri" w:hAnsi="Calibri" w:eastAsia="宋体" w:cs="Calibri"/>
        <w:color w:val="6B7280"/>
        <w:sz w:val="18"/>
      </w:rPr>
      <w:fldChar w:fldCharType="begin"/>
    </w:r>
    <w:r>
      <w:rPr>
        <w:rFonts w:ascii="Calibri" w:hAnsi="Calibri" w:eastAsia="宋体" w:cs="Calibri"/>
        <w:color w:val="6B7280"/>
        <w:sz w:val="18"/>
      </w:rPr>
      <w:instrText xml:space="preserve"> PAGE </w:instrText>
    </w:r>
    <w:r>
      <w:rPr>
        <w:rFonts w:ascii="Calibri" w:hAnsi="Calibri" w:eastAsia="宋体" w:cs="Calibri"/>
        <w:color w:val="6B7280"/>
        <w:sz w:val="18"/>
      </w:rPr>
      <w:fldChar w:fldCharType="separate"/>
    </w:r>
    <w:r>
      <w:rPr>
        <w:rFonts w:ascii="Calibri" w:hAnsi="Calibri" w:eastAsia="宋体" w:cs="Calibri"/>
        <w:color w:val="6B7280"/>
        <w:sz w:val="18"/>
      </w:rPr>
      <w:t>1</w:t>
    </w:r>
    <w:r>
      <w:rPr>
        <w:rFonts w:ascii="Calibri" w:hAnsi="Calibri" w:eastAsia="宋体" w:cs="Calibri"/>
        <w:color w:val="6B728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0" w:lineRule="auto"/>
      </w:pPr>
      <w:r>
        <w:separator/>
      </w:r>
    </w:p>
  </w:footnote>
  <w:footnote w:type="continuationSeparator" w:id="1">
    <w:p>
      <w:pPr>
        <w:spacing w:before="0" w:after="0" w:line="32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14C478">
    <w:pPr>
      <w:pStyle w:val="25"/>
      <w:ind w:firstLine="0"/>
      <w:jc w:val="center"/>
    </w:pPr>
    <w:r>
      <w:rPr>
        <w:rFonts w:ascii="Times New Roman" w:hAnsi="Times New Roman" w:eastAsia="宋体"/>
        <w:color w:val="7F7F7F"/>
        <w:sz w:val="15"/>
      </w:rPr>
      <w:t>论文中文修订稿 · Introduction v5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singleLevel"/>
    <w:tmpl w:val="CF092B84"/>
    <w:lvl w:ilvl="0" w:tentative="0">
      <w:start w:val="1"/>
      <w:numFmt w:val="decimal"/>
      <w:lvlText w:val="%1."/>
      <w:lvlJc w:val="left"/>
      <w:pPr>
        <w:tabs>
          <w:tab w:val="left" w:pos="540"/>
        </w:tabs>
        <w:ind w:left="540" w:hanging="280"/>
      </w:p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E533CE4"/>
    <w:rsid w:val="1E002D45"/>
    <w:rsid w:val="2C6170A5"/>
    <w:rsid w:val="2D0D13E0"/>
    <w:rsid w:val="3C1165F2"/>
    <w:rsid w:val="4E9B3DFF"/>
    <w:rsid w:val="671F5543"/>
    <w:rsid w:val="78201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360" w:lineRule="auto"/>
      <w:ind w:firstLine="420"/>
      <w:jc w:val="both"/>
    </w:pPr>
    <w:rPr>
      <w:rFonts w:ascii="Times New Roman" w:hAnsi="Times New Roman" w:eastAsia="宋体" w:cs="Calibr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0" w:after="120"/>
      <w:ind w:firstLine="0"/>
      <w:outlineLvl w:val="0"/>
    </w:pPr>
    <w:rPr>
      <w:rFonts w:asciiTheme="majorHAnsi" w:hAnsiTheme="majorHAnsi" w:eastAsiaTheme="majorEastAsia" w:cstheme="majorBidi" w:ascii="Arial" w:hAnsi="Arial" w:eastAsia="黑体"/>
      <w:b/>
      <w:bCs/>
      <w:color w:val="000000"/>
      <w:sz w:val="30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pageBreakBefore w:val="0"/>
      <w:spacing w:before="160" w:after="80"/>
      <w:ind w:firstLine="0"/>
      <w:outlineLvl w:val="1"/>
    </w:pPr>
    <w:rPr>
      <w:rFonts w:asciiTheme="majorHAnsi" w:hAnsiTheme="majorHAnsi" w:eastAsiaTheme="majorEastAsia" w:cstheme="majorBidi" w:ascii="Arial" w:hAnsi="Arial" w:eastAsia="黑体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spacing w:line="360" w:lineRule="auto" w:before="30" w:after="30"/>
      <w:contextualSpacing/>
      <w:jc w:val="both"/>
    </w:pPr>
    <w:rPr>
      <w:rFonts w:ascii="Times New Roman" w:hAnsi="Times New Roman" w:eastAsia="宋体"/>
      <w:sz w:val="21"/>
    </w:r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styleId="136">
    <w:name w:val="HTML Code"/>
    <w:basedOn w:val="133"/>
    <w:semiHidden/>
    <w:unhideWhenUsed/>
    <w:uiPriority w:val="99"/>
    <w:rPr>
      <w:rFonts w:ascii="Courier New" w:hAnsi="Courier New"/>
      <w:sz w:val="20"/>
    </w:rPr>
  </w:style>
  <w:style w:type="character" w:customStyle="1" w:styleId="137">
    <w:name w:val="Header Char"/>
    <w:basedOn w:val="133"/>
    <w:link w:val="25"/>
    <w:qFormat/>
    <w:uiPriority w:val="99"/>
  </w:style>
  <w:style w:type="character" w:customStyle="1" w:styleId="138">
    <w:name w:val="Footer Char"/>
    <w:basedOn w:val="133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3"/>
    <w:link w:val="19"/>
    <w:uiPriority w:val="99"/>
  </w:style>
  <w:style w:type="character" w:customStyle="1" w:styleId="147">
    <w:name w:val="Body Text 2 Char"/>
    <w:basedOn w:val="133"/>
    <w:link w:val="28"/>
    <w:qFormat/>
    <w:uiPriority w:val="99"/>
  </w:style>
  <w:style w:type="character" w:customStyle="1" w:styleId="148">
    <w:name w:val="Body Text 3 Char"/>
    <w:basedOn w:val="133"/>
    <w:link w:val="17"/>
    <w:uiPriority w:val="99"/>
    <w:rPr>
      <w:sz w:val="16"/>
      <w:szCs w:val="16"/>
    </w:rPr>
  </w:style>
  <w:style w:type="character" w:customStyle="1" w:styleId="149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3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3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AlgorithmBody">
    <w:name w:val="Algorithm Body"/>
    <w:pPr>
      <w:spacing w:line="276" w:lineRule="auto" w:before="0" w:after="0"/>
      <w:ind w:firstLine="0"/>
    </w:pPr>
    <w:rPr>
      <w:rFonts w:ascii="Times New Roman" w:hAnsi="Times New Roman" w:eastAsia="宋体"/>
      <w:sz w:val="19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1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3250</Words>
  <Characters>5108</Characters>
  <Lines>0</Lines>
  <Paragraphs>0</Paragraphs>
  <TotalTime>494</TotalTime>
  <ScaleCrop>false</ScaleCrop>
  <LinksUpToDate>false</LinksUpToDate>
  <CharactersWithSpaces>5595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Author</dc:creator>
  <dc:description>generated by python-docx</dc:description>
  <cp:lastModifiedBy>.</cp:lastModifiedBy>
  <dcterms:modified xsi:type="dcterms:W3CDTF">2026-07-26T06:52:59Z</dcterms:modified>
  <dc:subject>多 DNN 边缘推理在线调度</dc:subject>
  <dc:title>Introduction 中文修订稿</dc:title>
  <cp:revision>1</cp:revision>
  <cp:keywords>edge inference, dynamic batching, SLA, tail latency, discrete SAC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eyJoZGlkIjoiNzI3MjRmMzdhYzgzOWJhMzBiY2VlNjM5ZjIwMTQ4ZWUiLCJ1c2VySWQiOiI0OTU0MzUwNTEifQ==</vt:lpwstr>
  </property>
  <property fmtid="{D5CDD505-2E9C-101B-9397-08002B2CF9AE}" pid="3" name="KSOProductBuildVer">
    <vt:lpwstr>2052-12.1.0.26895</vt:lpwstr>
  </property>
  <property fmtid="{D5CDD505-2E9C-101B-9397-08002B2CF9AE}" pid="4" name="ICV">
    <vt:lpwstr>7E11E7B19C9F4F069189DB281AD15981_12</vt:lpwstr>
  </property>
</Properties>
</file>