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/>
        <w:ind w:firstLine="0"/>
      </w:pPr>
      <w:commentRangeStart w:id="0"/>
      <w:r>
        <w:t>4 RiskBudget-SAC 方法</w:t>
      </w:r>
      <w:commentRangeEnd w:id="0"/>
      <w:r>
        <w:rPr>
          <w:rStyle w:val="CommentReference"/>
        </w:rPr>
        <w:commentReference w:id="0"/>
      </w:r>
    </w:p>
    <w:p>
      <w:pPr>
        <w:ind w:firstLine="420"/>
        <w:jc w:val="both"/>
      </w:pPr>
      <w:commentRangeStart w:id="1"/>
      <w:r>
        <w:rPr>
          <w:rFonts w:ascii="Times New Roman" w:hAnsi="Times New Roman" w:eastAsia="宋体"/>
        </w:rPr>
        <w:t>RiskBudget-SAC 按“已揭示信息建模、选择性风险筛选、动作语义评分和尾部风险预算训练”四个环节运行。在线阶段，调度器只使用当前队列与设备状态、已经发生的到达和已完成 batch 反馈；Risk Gate 先从第三章定义的物理动作中构造非空可选集合，Actor 再完成最终动作选择。训练阶段，Twin Critics 利用模型级 SLA 偏差、连续尾部风险代理和 profile-estimated 能耗预算学习长期价值。GRU、EWMA、平衡回放、物理时间 n-step、目标网络与熵调节均作为该流程的配套实现，而非彼此独立的贡献。</w:t>
      </w:r>
      <w:commentRangeEnd w:id="1"/>
      <w:r>
        <w:rPr>
          <w:rStyle w:val="CommentReference"/>
        </w:rPr>
        <w:commentReference w:id="1"/>
      </w:r>
    </w:p>
    <w:p>
      <w:pPr>
        <w:pStyle w:val="4"/>
        <w:keepNext/>
        <w:ind w:firstLine="0"/>
      </w:pPr>
      <w:r>
        <w:t>4.1 方法总览与信息边界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在事件时刻 t_k，策略可观察各 DNN 队列长度和 slack 分布、设备占用与并发组成、近期已揭示到达统计，以及最近完成 batch 的执行反馈。策略不读取环境设置中的真实到达率、未来请求、场景名称、运行时减速因子或隐藏干扰强度。由第三章式 (5) 得到的物理动作集合首先保证队列、batch 与设备容量约束；Risk Gate 只在此基础上选择性收缩动作集合，不生成新动作，也不替代 Actor 排序。</w:t>
      </w:r>
    </w:p>
    <w:p>
      <w:pPr>
        <w:ind w:firstLine="420"/>
        <w:jc w:val="both"/>
      </w:pPr>
      <w:commentRangeStart w:id="2"/>
      <w:r>
        <w:rPr>
          <w:rFonts w:ascii="Times New Roman" w:hAnsi="Times New Roman" w:eastAsia="宋体"/>
        </w:rPr>
        <w:t>方法的两个核心设计分别对应第三章的两类困难：动作语义评分利用 DNN、设备、batch 和基准服务属性之间的共享结构，避免把有限动作库仅视为互不相关的编号；基于已揭示反馈的风险控制则利用在线到达估计和完成反馈，在负载压力或 deadline 紧迫时限制明显不利的探索，并通过软约束训练塑造长期策略。</w:t>
      </w:r>
      <w:commentRangeEnd w:id="2"/>
      <w:r>
        <w:rPr>
          <w:rStyle w:val="CommentReference"/>
        </w:rPr>
        <w:commentReference w:id="2"/>
      </w:r>
    </w:p>
    <w:p>
      <w:pPr>
        <w:pStyle w:val="4"/>
        <w:keepNext/>
        <w:ind w:firstLine="0"/>
      </w:pPr>
      <w:r>
        <w:t>4.2 已揭示到达与完成反馈表征</w:t>
      </w:r>
    </w:p>
    <w:p>
      <w:pPr>
        <w:ind w:firstLine="420"/>
        <w:jc w:val="both"/>
      </w:pPr>
      <w:commentRangeStart w:id="3"/>
      <w:r>
        <w:rPr>
          <w:rFonts w:ascii="Times New Roman" w:hAnsi="Times New Roman" w:eastAsia="宋体"/>
        </w:rPr>
        <w:t>调度器在每个事件上刷新即时状态 s_k，其中包含各 DNN 的队列与 deadline 裕量、设备占用和并发执行组成。为反映短时到达变化，对最近长度为 Δ 的观测窗口计数，并按模型使用 EWMA 更新在线到达率：</w:t>
      </w:r>
      <w:commentRangeEnd w:id="3"/>
      <w:r>
        <w:rPr>
          <w:rStyle w:val="CommentReference"/>
        </w:rPr>
        <w:commentReference w:id="3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40" w:after="40"/>
              <w:jc w:val="center"/>
            </w:pPr>
            <m:oMath>
              <m:sSub>
                <m:e>
                  <m:limUpp>
                    <m:e>
                      <m:r>
                        <m:t>λ</m:t>
                      </m:r>
                    </m:e>
                    <m:lim>
                      <m:r>
                        <m:t>^</m:t>
                      </m:r>
                    </m:lim>
                  </m:limUpp>
                </m:e>
                <m:sub>
                  <m:r>
                    <m:t>m,k</m:t>
                  </m:r>
                </m:sub>
              </m:sSub>
              <m:r>
                <m:t>=(1−</m:t>
              </m:r>
              <m:sSub>
                <m:e>
                  <m:r>
                    <m:t>α</m:t>
                  </m:r>
                </m:e>
                <m:sub>
                  <m:r>
                    <m:t>λ</m:t>
                  </m:r>
                </m:sub>
              </m:sSub>
              <m:r>
                <m:t>)</m:t>
              </m:r>
              <m:sSub>
                <m:e>
                  <m:limUpp>
                    <m:e>
                      <m:r>
                        <m:t>λ</m:t>
                      </m:r>
                    </m:e>
                    <m:lim>
                      <m:r>
                        <m:t>^</m:t>
                      </m:r>
                    </m:lim>
                  </m:limUpp>
                </m:e>
                <m:sub>
                  <m:r>
                    <m:t>m,k−1</m:t>
                  </m:r>
                </m:sub>
              </m:sSub>
              <m:r>
                <m:t>+</m:t>
              </m:r>
              <m:sSub>
                <m:e>
                  <m:r>
                    <m:t>α</m:t>
                  </m:r>
                </m:e>
                <m:sub>
                  <m:r>
                    <m:t>λ</m:t>
                  </m:r>
                </m:sub>
              </m:sSub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t>(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−Δ,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)</m:t>
                  </m:r>
                </m:num>
                <m:den>
                  <m:r>
                    <m:t>Δ</m:t>
                  </m:r>
                </m:den>
              </m:f>
              <m:r>
                <m:t>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commentRangeStart w:id="17"/>
            <w:r>
              <w:rPr>
                <w:rFonts w:ascii="Times New Roman" w:hAnsi="Times New Roman" w:eastAsia="宋体"/>
                <w:sz w:val="21"/>
              </w:rPr>
              <w:t>(18)</w:t>
            </w:r>
            <w:commentRangeEnd w:id="17"/>
            <w:r>
              <w:rPr>
                <w:rStyle w:val="CommentReference"/>
              </w:rPr>
              <w:commentReference w:id="17"/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  <w:b w:val="0"/>
        </w:rPr>
        <w:t>式 (18) 中，</w:t>
      </w:r>
      <m:oMath>
        <m:sSub>
          <m:e>
            <m:limUpp>
              <m:e>
                <m:r>
                  <m:t>λ</m:t>
                </m:r>
              </m:e>
              <m:lim>
                <m:r>
                  <m:t>^</m:t>
                </m:r>
              </m:lim>
            </m:limUpp>
          </m:e>
          <m:sub>
            <m:r>
              <m:t>m,k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仅由截至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已到达的请求更新，</w:t>
      </w:r>
      <m:oMath>
        <m:d>
          <m:dPr>
            <m:begChr m:val=""/>
            <m:sepChr m:val=""/>
            <m:endChr m:val="]"/>
          </m:dPr>
          <m:e>
            <m:sSub>
              <m:e>
                <m:r>
                  <m:t>α</m:t>
                </m:r>
              </m:e>
              <m:sub>
                <m:r>
                  <m:t>λ</m:t>
                </m:r>
              </m:sub>
            </m:sSub>
            <m:r>
              <m:t>∈</m:t>
            </m:r>
            <m:r>
              <m:t>(</m:t>
            </m:r>
            <m:r>
              <m:t>0</m:t>
            </m:r>
            <m:r>
              <m:t>,</m:t>
            </m:r>
            <m:r>
              <m:t>1</m:t>
            </m:r>
          </m:e>
        </m:d>
      </m:oMath>
      <w:r>
        <w:rPr>
          <w:rFonts w:ascii="Times New Roman" w:hAnsi="Times New Roman" w:eastAsia="宋体"/>
          <w:b w:val="0"/>
        </w:rPr>
        <w:t xml:space="preserve"> 为平滑系数。所有 episode 采用统一冷启动，不从环境读取真实 </w:t>
      </w:r>
      <m:oMath>
        <m:sSub>
          <m:e>
            <m:r>
              <m:t>λ</m:t>
            </m:r>
          </m:e>
          <m:sub>
            <m:r>
              <m:t>m</m:t>
            </m:r>
          </m:sub>
        </m:sSub>
        <m:r>
          <m:t>(t)</m:t>
        </m:r>
      </m:oMath>
      <w:r>
        <w:rPr>
          <w:rFonts w:ascii="Times New Roman" w:hAnsi="Times New Roman" w:eastAsia="宋体"/>
          <w:b w:val="0"/>
        </w:rPr>
        <w:t>、模型 mix 或未来计数。</w:t>
      </w:r>
    </w:p>
    <w:p>
      <w:pPr>
        <w:ind w:firstLine="420"/>
        <w:jc w:val="both"/>
      </w:pPr>
      <w:commentRangeStart w:id="4"/>
      <w:r>
        <w:rPr>
          <w:rFonts w:ascii="Times New Roman" w:hAnsi="Times New Roman" w:eastAsia="宋体"/>
        </w:rPr>
        <w:t>执行时间估计以第三章的基准 profile 为起点，并由相同 DNN–设备组合的已完成 batch 反馈进行保守校正。设 μ^ρ_{m,d,k} 和 σ^ρ_{m,d,k} 分别为截至 t_k 观测到的执行时延比值的 EWMA 均值和标准差，则</w:t>
      </w:r>
      <w:commentRangeEnd w:id="4"/>
      <w:r>
        <w:rPr>
          <w:rStyle w:val="CommentReference"/>
        </w:rPr>
        <w:commentReference w:id="4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0" w:after="0"/>
              <w:ind w:firstLine="0"/>
              <w:jc w:val="center"/>
            </w:pPr>
            <m:oMath>
              <m:sSubSup>
                <m:e>
                  <m:r>
                    <m:t>u</m:t>
                  </m:r>
                </m:e>
                <m:sub>
                  <m:r>
                    <m:t>m,d,k</m:t>
                  </m:r>
                </m:sub>
                <m:sup>
                  <m:r>
                    <m:t>ρ</m:t>
                  </m:r>
                </m:sup>
              </m:sSubSup>
              <m:r>
                <m:t>=</m:t>
              </m:r>
              <m:sSubSup>
                <m:e>
                  <m:r>
                    <m:t>μ</m:t>
                  </m:r>
                </m:e>
                <m:sub>
                  <m:r>
                    <m:t>m,d,k</m:t>
                  </m:r>
                </m:sub>
                <m:sup>
                  <m:r>
                    <m:t>ρ</m:t>
                  </m:r>
                </m:sup>
              </m:sSubSup>
              <m:r>
                <m:t>+χ</m:t>
              </m:r>
              <m:sSubSup>
                <m:e>
                  <m:r>
                    <m:t>σ</m:t>
                  </m:r>
                </m:e>
                <m:sub>
                  <m:r>
                    <m:t>m,d,k</m:t>
                  </m:r>
                </m:sub>
                <m:sup>
                  <m:r>
                    <m:t>ρ</m:t>
                  </m:r>
                </m:sup>
              </m:sSubSup>
              <m:r>
                <m:t>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>
                <m:e>
                  <m:limUpp>
                    <m:e>
                      <m:r>
                        <m:t>ρ</m:t>
                      </m:r>
                    </m:e>
                    <m:lim>
                      <m:r>
                        <m:t>^</m:t>
                      </m:r>
                    </m:lim>
                  </m:limUpp>
                </m:e>
                <m:sub>
                  <m:r>
                    <m:t>m,d,k</m:t>
                  </m:r>
                </m:sub>
              </m:sSub>
              <m:r>
                <m:t>=clip</m:t>
              </m:r>
              <m:d>
                <m:dPr>
                  <m:sepChr m:val=","/>
                </m:dPr>
                <m:e>
                  <m:sSubSup>
                    <m:e>
                      <m:r>
                        <m:t>u</m:t>
                      </m:r>
                    </m:e>
                    <m:sub>
                      <m:r>
                        <m:t>m,d,k</m:t>
                      </m:r>
                    </m:sub>
                    <m:sup>
                      <m:r>
                        <m:t>ρ</m:t>
                      </m:r>
                    </m:sup>
                  </m:sSubSup>
                </m:e>
                <m:e>
                  <m:sSub>
                    <m:e>
                      <m:r>
                        <m:t>ρ</m:t>
                      </m:r>
                    </m:e>
                    <m:sub>
                      <m:r>
                        <m:t>min</m:t>
                      </m:r>
                    </m:sub>
                  </m:sSub>
                </m:e>
                <m:e>
                  <m:sSub>
                    <m:e>
                      <m:r>
                        <m:t>ρ</m:t>
                      </m:r>
                    </m:e>
                    <m:sub>
                      <m:r>
                        <m:t>max</m:t>
                      </m:r>
                    </m:sub>
                  </m:sSub>
                </m:e>
              </m:d>
              <m:r>
                <m:t>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>
                <m:e>
                  <m:limUpp>
                    <m:e>
                      <m:r>
                        <m:t>T</m:t>
                      </m:r>
                    </m:e>
                    <m:lim>
                      <m:r>
                        <m:t>^</m:t>
                      </m:r>
                    </m:lim>
                  </m:limUpp>
                </m:e>
                <m:sub>
                  <m:r>
                    <m:t>k</m:t>
                  </m:r>
                </m:sub>
              </m:sSub>
              <m:r>
                <m:t>(m,d,b)=</m:t>
              </m:r>
              <m:sSub>
                <m:e>
                  <m:bar>
                    <m:barPr>
                      <m:pos m:val="top"/>
                    </m:barPr>
                    <m:e>
                      <m:r>
                        <m:t>T</m:t>
                      </m:r>
                    </m:e>
                  </m:bar>
                </m:e>
                <m:sub>
                  <m:r>
                    <m:t>m,d,b</m:t>
                  </m:r>
                </m:sub>
              </m:sSub>
              <m:sSub>
                <m:e>
                  <m:limUpp>
                    <m:e>
                      <m:r>
                        <m:t>ρ</m:t>
                      </m:r>
                    </m:e>
                    <m:lim>
                      <m:r>
                        <m:t>^</m:t>
                      </m:r>
                    </m:lim>
                  </m:limUpp>
                </m:e>
                <m:sub>
                  <m:r>
                    <m:t>m,d,k</m:t>
                  </m:r>
                </m:sub>
              </m:sSub>
              <m:r>
                <m:t>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commentRangeStart w:id="18"/>
            <w:r>
              <w:rPr>
                <w:rFonts w:ascii="Times New Roman" w:hAnsi="Times New Roman" w:eastAsia="宋体"/>
                <w:sz w:val="21"/>
              </w:rPr>
              <w:t>(19)</w:t>
            </w:r>
            <w:commentRangeEnd w:id="18"/>
            <w:r>
              <w:rPr>
                <w:rStyle w:val="CommentReference"/>
              </w:rPr>
              <w:commentReference w:id="18"/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</w:rPr>
        <w:t>式 (19) 中，u^ρ_{m,d,k} 为加入不确定性裕量后的时延比值，观测比值由已完成 batch 的实际执行时延除以相应基准执行时延得到；χ 控制裕量大小，clip(·) 将修正限制在预设有界区间。该预测器不读取正在运行 batch 的真实减速因子，只利用完成后已经揭示的反馈。</w:t>
      </w:r>
    </w:p>
    <w:p>
      <w:pPr>
        <w:ind w:firstLine="420"/>
        <w:jc w:val="both"/>
      </w:pPr>
      <w:commentRangeStart w:id="5"/>
      <w:r>
        <w:rPr>
          <w:rFonts w:ascii="Times New Roman" w:hAnsi="Times New Roman" w:eastAsia="宋体"/>
          <w:b w:val="0"/>
        </w:rPr>
        <w:t xml:space="preserve">令 </w:t>
      </w:r>
      <m:oMath>
        <m:sSub>
          <m:e>
            <m:r>
              <m:rPr>
                <m:scr m:val="script"/>
              </m:rPr>
              <m:t>H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表示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前最近 </w:t>
      </w:r>
      <m:oMath>
        <m:r>
          <m:t>H</m:t>
        </m:r>
      </m:oMath>
      <w:r>
        <w:rPr>
          <w:rFonts w:ascii="Times New Roman" w:hAnsi="Times New Roman" w:eastAsia="宋体"/>
          <w:b w:val="0"/>
        </w:rPr>
        <w:t xml:space="preserve"> 条已完成 batch 的反馈窗口。每条记录包含完成时间的新近程度、DNN 类型、执行设备、batch size，以及相对于基准 profile 的执行时延和能耗比值。GRU 按完成顺序编码该窗口，并与即时状态组成 Actor 和 Critic 的上下文：</w:t>
      </w:r>
      <w:commentRangeEnd w:id="5"/>
      <w:r>
        <w:rPr>
          <w:rStyle w:val="CommentReference"/>
        </w:rPr>
        <w:commentReference w:id="5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40" w:after="40"/>
              <w:jc w:val="center"/>
            </w:pP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t>=</m:t>
              </m:r>
              <m:sSub>
                <m:e>
                  <m:r>
                    <m:t>GRU</m:t>
                  </m:r>
                </m:e>
                <m:sub>
                  <m:r>
                    <m:t>ω</m:t>
                  </m:r>
                </m:sub>
              </m:sSub>
              <m:r>
                <m:t>(</m:t>
              </m:r>
              <m:sSub>
                <m:e>
                  <m:r>
                    <m:rPr>
                      <m:scr m:val="script"/>
                    </m:rPr>
                    <m:t>H</m:t>
                  </m:r>
                </m:e>
                <m:sub>
                  <m:r>
                    <m:t>k</m:t>
                  </m:r>
                </m:sub>
              </m:sSub>
              <m:r>
                <m:t>),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t>=</m:t>
              </m:r>
              <m:d>
                <m:dPr>
                  <m:begChr m:val="["/>
                  <m:sepChr m:val=","/>
                  <m:endChr m:val="]"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commentRangeStart w:id="19"/>
            <w:r>
              <w:rPr>
                <w:rFonts w:ascii="Times New Roman" w:hAnsi="Times New Roman" w:eastAsia="宋体"/>
                <w:sz w:val="21"/>
              </w:rPr>
              <w:t>(20)</w:t>
            </w:r>
            <w:commentRangeEnd w:id="19"/>
            <w:r>
              <w:rPr>
                <w:rStyle w:val="CommentReference"/>
              </w:rPr>
              <w:commentReference w:id="19"/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  <w:b w:val="0"/>
        </w:rPr>
        <w:t>式 (20) 中，</w:t>
      </w:r>
      <m:oMath>
        <m:sSub>
          <m:e>
            <m:r>
              <m:t>h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是固定维度的历史表示，</w:t>
      </w:r>
      <m:oMath>
        <m:r>
          <m:t>ω</m:t>
        </m:r>
      </m:oMath>
      <w:r>
        <w:rPr>
          <w:rFonts w:ascii="Times New Roman" w:hAnsi="Times New Roman" w:eastAsia="宋体"/>
          <w:b w:val="0"/>
        </w:rPr>
        <w:t xml:space="preserve"> 为 GRU 参数，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为后续策略和值函数使用的完整上下文。</w:t>
      </w:r>
      <m:oMath>
        <m:sSub>
          <m:e>
            <m:limUpp>
              <m:e>
                <m:r>
                  <m:rPr>
                    <m:sty m:val="bi"/>
                  </m:rPr>
                  <m:t>λ</m:t>
                </m:r>
              </m:e>
              <m:lim>
                <m:r>
                  <m:t>^</m:t>
                </m:r>
              </m:lim>
            </m:limUpp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与动作完成时间估计主要供 Risk Gate 判断压力和紧迫度；它们不被作为额外 oracle 变量直接拼入 Actor。</w:t>
      </w:r>
    </w:p>
    <w:p>
      <w:pPr>
        <w:pStyle w:val="4"/>
        <w:keepNext/>
        <w:ind w:firstLine="0"/>
      </w:pPr>
      <w:r>
        <w:t>4.3 反馈校准的选择性 Risk Gate</w:t>
      </w:r>
    </w:p>
    <w:p>
      <w:pPr>
        <w:ind w:firstLine="420"/>
        <w:jc w:val="both"/>
      </w:pPr>
      <w:commentRangeStart w:id="6"/>
      <w:r>
        <w:rPr>
          <w:rFonts w:ascii="Times New Roman" w:hAnsi="Times New Roman" w:eastAsia="宋体"/>
        </w:rPr>
        <w:t>Risk Gate 的输入始终受第三章式 (5) 限定。它读取物理动作集合、当前可观测状态、在线到达率估计和以完成反馈校正的动作时延估计，并返回非空风险动作集合：</w:t>
      </w:r>
      <w:commentRangeEnd w:id="6"/>
      <w:r>
        <w:rPr>
          <w:rStyle w:val="CommentReference"/>
        </w:rPr>
        <w:commentReference w:id="6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0" w:after="0"/>
              <w:ind w:firstLine="0"/>
              <w:jc w:val="center"/>
            </w:pPr>
            <m:oMath>
              <m:sSubSup>
                <m:e>
                  <m:r>
                    <m:rPr>
                      <m:scr m:val="script"/>
                    </m:rP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risk</m:t>
                  </m:r>
                </m:sup>
              </m:sSubSup>
              <m:r>
                <m:t>=G</m:t>
              </m:r>
              <m:d>
                <m:dPr>
                  <m:sepChr m:val=","/>
                </m:dPr>
                <m:e>
                  <m:sSubSup>
                    <m:e>
                      <m:r>
                        <m:rPr>
                          <m:scr m:val="script"/>
                        </m:rPr>
                        <m:t>A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phy</m:t>
                      </m:r>
                    </m:sup>
                  </m:sSubSup>
                </m:e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  <m:e>
                  <m:sSub>
                    <m:e>
                      <m:limUpp>
                        <m:e>
                          <m:r>
                            <m:rPr>
                              <m:sty m:val="bi"/>
                            </m:rPr>
                            <m:t>λ</m:t>
                          </m:r>
                        </m:e>
                        <m:lim>
                          <m:r>
                            <m:t>^</m:t>
                          </m:r>
                        </m:lim>
                      </m:limUpp>
                    </m:e>
                    <m:sub>
                      <m:r>
                        <m:t>k</m:t>
                      </m:r>
                    </m:sub>
                  </m:sSub>
                </m:e>
                <m:e>
                  <m:sSub>
                    <m:e>
                      <m:limUpp>
                        <m:e>
                          <m:r>
                            <m:rPr>
                              <m:sty m:val="bi"/>
                            </m:rPr>
                            <m:t>T</m:t>
                          </m:r>
                        </m:e>
                        <m:lim>
                          <m:r>
                            <m:t>^</m:t>
                          </m:r>
                        </m:lim>
                      </m:limUpp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Sup>
                <m:e>
                  <m:r>
                    <m:rPr>
                      <m:scr m:val="script"/>
                    </m:rP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risk</m:t>
                  </m:r>
                </m:sup>
              </m:sSubSup>
              <m:r>
                <m:t>≠∅.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commentRangeStart w:id="20"/>
            <w:r>
              <w:rPr>
                <w:rFonts w:ascii="Times New Roman" w:hAnsi="Times New Roman" w:eastAsia="宋体"/>
                <w:sz w:val="21"/>
              </w:rPr>
              <w:t>(21)</w:t>
            </w:r>
            <w:commentRangeEnd w:id="20"/>
            <w:r>
              <w:rPr>
                <w:rStyle w:val="CommentReference"/>
              </w:rPr>
              <w:commentReference w:id="20"/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  <w:b w:val="0"/>
        </w:rPr>
        <w:t>式 (21) 中，</w:t>
      </w:r>
      <m:oMath>
        <m:r>
          <m:t>G(·)</m:t>
        </m:r>
      </m:oMath>
      <w:r>
        <w:rPr>
          <w:rFonts w:ascii="Times New Roman" w:hAnsi="Times New Roman" w:eastAsia="宋体"/>
          <w:b w:val="0"/>
        </w:rPr>
        <w:t xml:space="preserve"> 表示选择性 Risk Gate，</w:t>
      </w:r>
      <m:oMath>
        <m:sSub>
          <m:e>
            <m:limUpp>
              <m:e>
                <m:r>
                  <m:rPr>
                    <m:sty m:val="bi"/>
                  </m:rPr>
                  <m:t>T</m:t>
                </m:r>
              </m:e>
              <m:lim>
                <m:r>
                  <m:t>^</m:t>
                </m:r>
              </m:lim>
            </m:limUpp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以物理派发动作为索引。Gate 先根据 </w:t>
      </w:r>
      <m:oMath>
        <m:sSub>
          <m:e>
            <m:r>
              <m:t>P</m:t>
            </m:r>
          </m:e>
          <m:sub>
            <m:r>
              <m:t>m,k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q</m:t>
                </m:r>
              </m:e>
              <m:sub>
                <m:r>
                  <m:t>m</m:t>
                </m:r>
              </m:sub>
            </m:sSub>
            <m:r>
              <m:t>(</m:t>
            </m:r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  <m:r>
              <m:t>)</m:t>
            </m:r>
          </m:num>
          <m:den>
            <m:r>
              <m:t>max(</m:t>
            </m:r>
            <m:sSub>
              <m:e>
                <m:limUpp>
                  <m:e>
                    <m:r>
                      <m:t>λ</m:t>
                    </m:r>
                  </m:e>
                  <m:lim>
                    <m:r>
                      <m:t>^</m:t>
                    </m:r>
                  </m:lim>
                </m:limUpp>
              </m:e>
              <m:sub>
                <m:r>
                  <m:t>m,k</m:t>
                </m:r>
              </m:sub>
            </m:sSub>
            <m:sSub>
              <m:e>
                <m:r>
                  <m:t>δ</m:t>
                </m:r>
              </m:e>
              <m:sub>
                <m:r>
                  <m:t>m</m:t>
                </m:r>
              </m:sub>
            </m:sSub>
            <m:r>
              <m:t>,1)</m:t>
            </m:r>
          </m:den>
        </m:f>
      </m:oMath>
      <w:r>
        <w:rPr>
          <w:rFonts w:ascii="Times New Roman" w:hAnsi="Times New Roman" w:eastAsia="宋体"/>
          <w:b w:val="0"/>
        </w:rPr>
        <w:t xml:space="preserve"> 估计各模型队列压力，并计算队首请求的归一化 slack。低压力且无紧迫请求时，Gate 保留全部物理可行动作；压力升高时，它聚焦压力最大的 DNN 队列，并保留预测服务率接近该队列当前最佳值的派发动作；存在紧迫请求时，则优先筛选预测完成时刻仍留有安全裕量的动作。</w:t>
      </w:r>
    </w:p>
    <w:p>
      <w:pPr>
        <w:ind w:firstLine="420"/>
        <w:jc w:val="both"/>
      </w:pPr>
      <w:commentRangeStart w:id="7"/>
      <w:r>
        <w:rPr>
          <w:rFonts w:ascii="Times New Roman" w:hAnsi="Times New Roman" w:eastAsia="宋体"/>
        </w:rPr>
        <w:t>若紧迫队列不存在预测可及时完成的动作，Gate 不返回空集合，而是保留预计按时吞吐率较高的动作；若所有候选均预计超时，则退回到服务率较高的动作以继续排空积压。Gate 只构造允许集合，最终的 DNN、设备和 batch 决策仍由 Actor 作出。该筛选降低明显高风险探索的机会，但不构成确定性安全或 SLA 保证。</w:t>
      </w:r>
      <w:commentRangeEnd w:id="7"/>
      <w:r>
        <w:rPr>
          <w:rStyle w:val="CommentReference"/>
        </w:rPr>
        <w:commentReference w:id="7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7"/>
        <w:gridCol w:w="8334"/>
      </w:tblGrid>
      <w:tr>
        <w:trPr>
          <w:cantSplit/>
        </w:trPr>
        <w:tc>
          <w:tcPr>
            <w:tcW w:type="dxa" w:w="8901"/>
            <w:gridSpan w:val="2"/>
            <w:shd w:fill="D9EAF7"/>
            <w:tcMar>
              <w:top w:w="80" w:type="dxa"/>
              <w:bottom w:w="70" w:type="dxa"/>
              <w:start w:w="100" w:type="dxa"/>
              <w:end w:w="100" w:type="dxa"/>
            </w:tcMar>
          </w:tcPr>
          <w:p>
            <w:pPr>
              <w:pStyle w:val="AlgorithmBody"/>
            </w:pPr>
            <w:commentRangeStart w:id="31"/>
            <w:r>
              <w:rPr>
                <w:rFonts w:ascii="Times New Roman" w:hAnsi="Times New Roman" w:eastAsia="宋体"/>
                <w:b/>
                <w:sz w:val="20"/>
              </w:rPr>
              <w:t>Algorithm 1: 反馈校准的选择性 Risk Gate</w:t>
            </w:r>
            <w:commentRangeEnd w:id="31"/>
            <w:r>
              <w:rPr>
                <w:rStyle w:val="CommentReference"/>
              </w:rPr>
              <w:commentReference w:id="31"/>
            </w:r>
          </w:p>
        </w:tc>
      </w:tr>
      <w:tr>
        <w:trPr>
          <w:cantSplit/>
        </w:trPr>
        <w:tc>
          <w:tcPr>
            <w:tcW w:type="dxa" w:w="8901"/>
            <w:gridSpan w:val="2"/>
            <w:tcMar>
              <w:top w:w="35" w:type="dxa"/>
              <w:bottom w:w="35" w:type="dxa"/>
              <w:start w:w="100" w:type="dxa"/>
              <w:end w:w="10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b/>
                <w:sz w:val="19"/>
              </w:rPr>
              <w:t xml:space="preserve">Input: </w:t>
            </w:r>
            <w:r>
              <w:rPr>
                <w:rFonts w:ascii="Times New Roman" w:hAnsi="Times New Roman" w:eastAsia="宋体"/>
                <w:sz w:val="19"/>
              </w:rPr>
              <w:t>当前可观测状态 s_k、物理动作集合 A_k^phy、已揭示到达、已完成 batch 反馈、基准服务特性</w:t>
            </w:r>
          </w:p>
        </w:tc>
      </w:tr>
      <w:tr>
        <w:trPr>
          <w:cantSplit/>
        </w:trPr>
        <w:tc>
          <w:tcPr>
            <w:tcW w:type="dxa" w:w="8901"/>
            <w:gridSpan w:val="2"/>
            <w:tcMar>
              <w:top w:w="35" w:type="dxa"/>
              <w:bottom w:w="35" w:type="dxa"/>
              <w:start w:w="100" w:type="dxa"/>
              <w:end w:w="10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b/>
                <w:sz w:val="19"/>
              </w:rPr>
              <w:t xml:space="preserve">Output: </w:t>
            </w:r>
            <w:r>
              <w:rPr>
                <w:rFonts w:ascii="Times New Roman" w:hAnsi="Times New Roman" w:eastAsia="宋体"/>
                <w:sz w:val="19"/>
              </w:rPr>
              <w:t>非空动作集合 A_k^risk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用截至 t_k 的到达事件按式 (18) 更新各 DNN 的在线到达率估计。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同步新完成 batch 的执行时延比值，并按式 (19)更新对应 DNN–设备组合的保守完成时间修正。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由当前队列、模型级 deadline 和 λ̂_k 计算模型级压力，并读取各队首请求的归一化 slack。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若不存在紧迫请求且最大压力低于阈值，则返回原物理动作集合 A_k^phy。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5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若不存在紧迫请求但压力较高，则选取压力最大的 DNN，并保留预测服务率达到该 DNN 最佳值给定比例的派发动作。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6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若存在紧迫请求，则只考察最紧迫 DNN 的物理派发动作，并根据 T̂_k 与请求 deadline 筛选具有完成裕量的动作。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7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若没有预计可及时完成的动作，则保留预计按时吞吐率最高的一组动作；若其均为零，则退回到服务率最高的一组动作。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  <w:tcBorders>
              <w:bottom w:val="single" w:sz="8" w:color="4F6475"/>
            </w:tcBorders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8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  <w:tcBorders>
              <w:bottom w:val="single" w:sz="8" w:color="4F6475"/>
            </w:tcBorders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若任一分支产生空集合，则返回原物理动作集合中的可行动作，确保系统能够继续推进。</w:t>
            </w:r>
          </w:p>
        </w:tc>
      </w:tr>
    </w:tbl>
    <w:p>
      <w:pPr>
        <w:pStyle w:val="4"/>
        <w:keepNext/>
        <w:ind w:firstLine="0"/>
      </w:pPr>
      <w:r>
        <w:t>4.4 动作语义对齐的 SAC 调度器</w:t>
      </w:r>
    </w:p>
    <w:p>
      <w:pPr>
        <w:ind w:firstLine="420"/>
        <w:jc w:val="both"/>
      </w:pPr>
      <w:commentRangeStart w:id="8"/>
      <w:r>
        <w:rPr>
          <w:rFonts w:ascii="Times New Roman" w:hAnsi="Times New Roman" w:eastAsia="宋体"/>
        </w:rPr>
        <w:t>对每个候选动作，RiskBudget-SAC 不仅保留动作编号，还编码其可共享语义。动作特征由 WAIT 标识、DNN one-hot、执行设备 one-hot、batch size 的双尺度表示和第三章式 (7) 的基准服务属性组成：</w:t>
      </w:r>
      <w:commentRangeEnd w:id="8"/>
      <w:r>
        <w:rPr>
          <w:rStyle w:val="CommentReference"/>
        </w:rPr>
        <w:commentReference w:id="8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0" w:after="0"/>
              <w:ind w:firstLine="0"/>
              <w:jc w:val="center"/>
            </w:pPr>
            <m:oMath>
              <m:r>
                <m:t>ϕ(</m:t>
              </m:r>
              <m:r>
                <m:rPr>
                  <m:sty m:val="p"/>
                </m:rPr>
                <m:t>WAIT</m:t>
              </m:r>
              <m:r>
                <m:t>)=</m:t>
              </m:r>
              <m:sSup>
                <m:e>
                  <m:d>
                    <m:dPr>
                      <m:begChr m:val="["/>
                      <m:sepChr m:val=","/>
                      <m:endChr m:val="]"/>
                    </m:dPr>
                    <m:e>
                      <m:r>
                        <m:t>1</m:t>
                      </m:r>
                    </m:e>
                    <m:e>
                      <m:r>
                        <m:rPr>
                          <m:sty m:val="b"/>
                        </m:rPr>
                        <m:t>0</m:t>
                      </m:r>
                    </m:e>
                  </m:d>
                </m:e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p>
              <m:r>
                <m:t>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r>
                <m:t>ϕ(m,d,b)=</m:t>
              </m:r>
              <m:sSup>
                <m:e>
                  <m:d>
                    <m:dPr>
                      <m:begChr m:val="["/>
                      <m:sepChr m:val=""/>
                      <m:endChr m:val="]"/>
                    </m:dPr>
                    <m:e>
                      <m:r>
                        <m:t>0</m:t>
                      </m:r>
                      <m:r>
                        <m:t>,</m:t>
                      </m:r>
                      <m:sSubSup>
                        <m:e>
                          <m:r>
                            <m:rPr>
                              <m:sty m:val="bi"/>
                            </m:rPr>
                            <m:t>e</m:t>
                          </m:r>
                        </m:e>
                        <m:sub>
                          <m:r>
                            <m:t>m</m:t>
                          </m:r>
                        </m:sub>
                        <m:sup>
                          <m:r>
                            <m:rPr>
                              <m:scr m:val="sans-serif"/>
                              <m:sty m:val="p"/>
                            </m:rPr>
                            <m:t>T</m:t>
                          </m:r>
                        </m:sup>
                      </m:sSubSup>
                      <m:r>
                        <m:t>,</m:t>
                      </m:r>
                      <m:sSubSup>
                        <m:e>
                          <m:r>
                            <m:rPr>
                              <m:sty m:val="bi"/>
                            </m:rPr>
                            <m:t>e</m:t>
                          </m:r>
                        </m:e>
                        <m:sub>
                          <m:r>
                            <m:t>d</m:t>
                          </m:r>
                        </m:sub>
                        <m:sup>
                          <m:r>
                            <m:rPr>
                              <m:scr m:val="sans-serif"/>
                              <m:sty m:val="p"/>
                            </m:rPr>
                            <m:t>T</m:t>
                          </m:r>
                        </m:sup>
                      </m:sSubSup>
                      <m:r>
                        <m:t>,</m:t>
                      </m:r>
                      <m:r>
                        <m:t>ψ</m:t>
                      </m:r>
                      <m:r>
                        <m:t>(</m:t>
                      </m:r>
                      <m:r>
                        <m:t>b</m:t>
                      </m:r>
                      <m:sSup>
                        <m:e>
                          <m:r>
                            <m:t>)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T</m:t>
                          </m:r>
                        </m:sup>
                      </m:sSup>
                      <m:r>
                        <m:t>,</m:t>
                      </m:r>
                      <m:sSubSup>
                        <m:e>
                          <m:r>
                            <m:rPr>
                              <m:scr m:val="script"/>
                            </m:rPr>
                            <m:t>P</m:t>
                          </m:r>
                        </m:e>
                        <m:sub>
                          <m:r>
                            <m:t>m,d,b</m:t>
                          </m:r>
                        </m:sub>
                        <m:sup>
                          <m:r>
                            <m:rPr>
                              <m:scr m:val="sans-serif"/>
                              <m:sty m:val="p"/>
                            </m:rPr>
                            <m:t>T</m:t>
                          </m:r>
                        </m:sup>
                      </m:sSubSup>
                    </m:e>
                  </m:d>
                </m:e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p>
              <m:r>
                <m:t>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r>
                <m:t>ψ(b)=</m:t>
              </m:r>
              <m:sSup>
                <m:e>
                  <m:d>
                    <m:dPr>
                      <m:begChr m:val="["/>
                      <m:sepChr m:val=","/>
                      <m:endChr m:val="]"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t>b</m:t>
                      </m:r>
                    </m:e>
                    <m:e>
                      <m:r>
                        <m:t>b</m:t>
                      </m:r>
                    </m:e>
                  </m:d>
                </m:e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p>
              <m:r>
                <m:t>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commentRangeStart w:id="21"/>
            <w:r>
              <w:rPr>
                <w:rFonts w:ascii="Times New Roman" w:hAnsi="Times New Roman" w:eastAsia="宋体"/>
                <w:sz w:val="21"/>
              </w:rPr>
              <w:t>(22)</w:t>
            </w:r>
            <w:commentRangeEnd w:id="21"/>
            <w:r>
              <w:rPr>
                <w:rStyle w:val="CommentReference"/>
              </w:rPr>
              <w:commentReference w:id="21"/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  <w:b w:val="0"/>
        </w:rPr>
        <w:t>式 (22) 中，</w:t>
      </w:r>
      <m:oMath>
        <m:sSub>
          <m:e>
            <m:r>
              <m:rPr>
                <m:sty m:val="bi"/>
              </m:rPr>
              <m:t>e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和 </w:t>
      </w:r>
      <m:oMath>
        <m:sSub>
          <m:e>
            <m:r>
              <m:rPr>
                <m:sty m:val="bi"/>
              </m:rPr>
              <m:t>e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分别为 DNN 与设备的 one-hot 向量。</w:t>
      </w:r>
      <m:oMath>
        <m:r>
          <m:t>ψ(b)</m:t>
        </m:r>
      </m:oMath>
      <w:r>
        <w:rPr>
          <w:rFonts w:ascii="Times New Roman" w:hAnsi="Times New Roman" w:eastAsia="宋体"/>
          <w:b w:val="0"/>
        </w:rPr>
        <w:t xml:space="preserve"> 同时保留 batch size 的对数尺度和线性尺度，以区分倍增关系与绝对大小。连续特征在送入网络前按照固定参考尺度归一化；WAIT 的非适用字段置零。</w:t>
      </w:r>
    </w:p>
    <w:p>
      <w:pPr>
        <w:ind w:firstLine="420"/>
        <w:jc w:val="both"/>
      </w:pPr>
      <w:commentRangeStart w:id="9"/>
      <w:r>
        <w:rPr>
          <w:rFonts w:ascii="Times New Roman" w:hAnsi="Times New Roman" w:eastAsia="宋体"/>
        </w:rPr>
        <w:t>Actor 分别编码上下文与动作语义。基础评分头根据当前上下文为有限动作库给出初始分数，动作条件残差头再利用共享动作表示进行校正：</w:t>
      </w:r>
      <w:commentRangeEnd w:id="9"/>
      <w:r>
        <w:rPr>
          <w:rStyle w:val="CommentReference"/>
        </w:rPr>
        <w:commentReference w:id="9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0" w:after="0"/>
              <w:ind w:firstLine="0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k</m:t>
                  </m:r>
                </m:sub>
              </m:sSub>
              <m:r>
                <m:t>=</m:t>
              </m:r>
              <m:sSubSup>
                <m:e>
                  <m:r>
                    <m:t>f</m:t>
                  </m:r>
                </m:e>
                <m:sub>
                  <m:r>
                    <m:t>θ</m:t>
                  </m:r>
                </m:sub>
                <m:sup>
                  <m:r>
                    <m:rPr>
                      <m:sty m:val="p"/>
                    </m:rPr>
                    <m:t>ctx</m:t>
                  </m:r>
                </m:sup>
              </m:sSubSup>
              <m: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t>),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t>=</m:t>
              </m:r>
              <m:sSubSup>
                <m:e>
                  <m:r>
                    <m:t>f</m:t>
                  </m:r>
                </m:e>
                <m:sub>
                  <m:r>
                    <m:t>θ</m:t>
                  </m:r>
                </m:sub>
                <m:sup>
                  <m:r>
                    <m:rPr>
                      <m:sty m:val="p"/>
                    </m:rPr>
                    <m:t>act</m:t>
                  </m:r>
                </m:sup>
              </m:sSubSup>
              <m:d>
                <m:dPr>
                  <m:sepChr m:val=""/>
                </m:dPr>
                <m:e>
                  <m:r>
                    <m:t>ϕ</m:t>
                  </m:r>
                  <m:r>
                    <m:t>(</m:t>
                  </m:r>
                  <m:r>
                    <m:t>a</m:t>
                  </m:r>
                  <m:r>
                    <m:t>)</m:t>
                  </m:r>
                </m:e>
              </m:d>
              <m:r>
                <m:t>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>
                <m:e>
                  <m:r>
                    <m:t>ℓ</m:t>
                  </m:r>
                </m:e>
                <m:sub>
                  <m:r>
                    <m:t>k</m:t>
                  </m:r>
                </m:sub>
              </m:sSub>
              <m:r>
                <m:t>(a)=</m:t>
              </m:r>
              <m:sSubSup>
                <m:e>
                  <m:r>
                    <m:t>g</m:t>
                  </m:r>
                </m:e>
                <m:sub>
                  <m:r>
                    <m:t>θ</m:t>
                  </m:r>
                </m:sub>
                <m:sup>
                  <m:r>
                    <m:rPr>
                      <m:sty m:val="p"/>
                    </m:rPr>
                    <m:t>base</m:t>
                  </m:r>
                </m:sup>
              </m:sSubSup>
              <m:r>
                <m:t>(</m:t>
              </m:r>
              <m:sSub>
                <m:e>
                  <m:r>
                    <m:t>z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)</m:t>
                  </m:r>
                </m:e>
                <m:sub>
                  <m:r>
                    <m:t>a</m:t>
                  </m:r>
                </m:sub>
              </m:sSub>
              <m:r>
                <m:t>+</m:t>
              </m:r>
              <m:sSubSup>
                <m:e>
                  <m:r>
                    <m:t>g</m:t>
                  </m:r>
                </m:e>
                <m:sub>
                  <m:r>
                    <m:t>θ</m:t>
                  </m:r>
                </m:sub>
                <m:sup>
                  <m:r>
                    <m:rPr>
                      <m:sty m:val="p"/>
                    </m:rPr>
                    <m:t>res</m:t>
                  </m:r>
                </m:sup>
              </m:sSubSup>
              <m:r>
                <m:t>(</m:t>
              </m:r>
              <m:sSub>
                <m:e>
                  <m:r>
                    <m:t>z</m:t>
                  </m:r>
                </m:e>
                <m:sub>
                  <m:r>
                    <m:t>k</m:t>
                  </m:r>
                </m:sub>
              </m:sSub>
              <m:r>
                <m:t>,</m:t>
              </m:r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t>).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commentRangeStart w:id="22"/>
            <w:r>
              <w:rPr>
                <w:rFonts w:ascii="Times New Roman" w:hAnsi="Times New Roman" w:eastAsia="宋体"/>
                <w:sz w:val="21"/>
              </w:rPr>
              <w:t>(23)</w:t>
            </w:r>
            <w:commentRangeEnd w:id="22"/>
            <w:r>
              <w:rPr>
                <w:rStyle w:val="CommentReference"/>
              </w:rPr>
              <w:commentReference w:id="22"/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</w:rPr>
        <w:t>式 (23) 中，f_ctx 和 f_act 是上下文与动作 MLP 编码器，z_k 和 u_a 为相应隐表示。基础头保留对每个有限动作的直接评分能力，残差头则利用状态–动作交互对其修正，使具有相同 DNN、设备或相近 batch 属性的动作能够共享统计信息。该式省略了实现中的逐元素交互特征，但不改变“基础评分加动作语义残差”的结构。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策略只在 Risk Gate 保留的动作集合内归一化：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40" w:after="40"/>
              <w:jc w:val="center"/>
            </w:pPr>
            <m:oMath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t>(a∣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t>)=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I</m:t>
                  </m:r>
                  <m:r>
                    <m:t>[a∈</m:t>
                  </m:r>
                  <m:sSubSup>
                    <m:e>
                      <m:r>
                        <m:rPr>
                          <m:scr m:val="script"/>
                        </m:rPr>
                        <m:t>A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risk</m:t>
                      </m:r>
                    </m:sup>
                  </m:sSubSup>
                  <m:r>
                    <m:t>]</m:t>
                  </m:r>
                  <m:r>
                    <m:rPr>
                      <m:sty m:val="p"/>
                    </m:rPr>
                    <m:t>exp</m:t>
                  </m:r>
                  <m:r>
                    <m:t>(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(a))</m:t>
                  </m:r>
                </m:num>
                <m:den>
                  <m:nary>
                    <m:naryPr>
                      <m:chr m:val="∑"/>
                      <m:limLoc m:val="subSup"/>
                      <m:grow m:val="1"/>
                      <m:subHide m:val="off"/>
                      <m:supHide m:val="on"/>
                    </m:naryPr>
                    <m:sub>
                      <m:limUpp>
                        <m:e>
                          <m:r>
                            <m:t>a</m:t>
                          </m:r>
                        </m:e>
                        <m:lim>
                          <m:r>
                            <m:t>~</m:t>
                          </m:r>
                        </m:lim>
                      </m:limUpp>
                      <m:r>
                        <m:t>∈</m:t>
                      </m:r>
                      <m:sSubSup>
                        <m:e>
                          <m:r>
                            <m:rPr>
                              <m:scr m:val="script"/>
                            </m:rP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risk</m:t>
                          </m:r>
                        </m:sup>
                      </m:sSubSup>
                    </m:sub>
                    <m:sup/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(</m:t>
                      </m:r>
                    </m:e>
                  </m:nary>
                  <m:sSub>
                    <m:e>
                      <m:r>
                        <m:t>ℓ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(</m:t>
                  </m:r>
                  <m:limUpp>
                    <m:e>
                      <m:r>
                        <m:t>a</m:t>
                      </m:r>
                    </m:e>
                    <m:lim>
                      <m:r>
                        <m:t>~</m:t>
                      </m:r>
                    </m:lim>
                  </m:limUpp>
                  <m:r>
                    <m:t>))</m:t>
                  </m:r>
                </m:den>
              </m:f>
              <m:r>
                <m:t>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commentRangeStart w:id="23"/>
            <w:r>
              <w:rPr>
                <w:rFonts w:ascii="Times New Roman" w:hAnsi="Times New Roman" w:eastAsia="宋体"/>
                <w:sz w:val="21"/>
              </w:rPr>
              <w:t>(24)</w:t>
            </w:r>
            <w:commentRangeEnd w:id="23"/>
            <w:r>
              <w:rPr>
                <w:rStyle w:val="CommentReference"/>
              </w:rPr>
              <w:commentReference w:id="23"/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</w:rPr>
        <w:t>式 (24) 的 masked softmax 保证被物理约束或 Gate 排除的动作概率为零。训练时从该分布随机采样以维持探索；评估和部署时直接选择概率最大的单个动作，不执行候选搜索或多次试选。</w:t>
      </w:r>
    </w:p>
    <w:p>
      <w:pPr>
        <w:ind w:firstLine="420"/>
        <w:jc w:val="both"/>
      </w:pPr>
      <w:commentRangeStart w:id="10"/>
      <w:r>
        <w:rPr>
          <w:rFonts w:ascii="Times New Roman" w:hAnsi="Times New Roman" w:eastAsia="宋体"/>
        </w:rPr>
        <w:t>两个独立 Critic 在全局上下文与静态动作语义之外，还读取与候选动作对应的局部状态。对派发动作，该局部状态包含目标 DNN 的队列、队首 slack 与分布特征，以及目标设备的占用、并发组成和可观测干扰水平；WAIT 则使用相应的全局聚合表示。Twin Critics 定义为</w:t>
      </w:r>
      <w:commentRangeEnd w:id="10"/>
      <w:r>
        <w:rPr>
          <w:rStyle w:val="CommentReference"/>
        </w:rPr>
        <w:commentReference w:id="10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40" w:after="40"/>
              <w:jc w:val="center"/>
            </w:pPr>
            <m:oMath>
              <m:sSub>
                <m:e>
                  <m:r>
                    <m:t>Q</m:t>
                  </m:r>
                </m:e>
                <m:sub>
                  <m:sSub>
                    <m:e>
                      <m:r>
                        <m:t>ψ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  <m: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t>,a)=</m:t>
              </m:r>
              <m:sSub>
                <m:e>
                  <m:r>
                    <m:t>F</m:t>
                  </m:r>
                </m:e>
                <m:sub>
                  <m:sSub>
                    <m:e>
                      <m:r>
                        <m:t>ψ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  <m:d>
                <m:dPr>
                  <m:sepChr m:val=""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,</m:t>
                  </m:r>
                  <m:r>
                    <m:t>ϕ</m:t>
                  </m:r>
                  <m:r>
                    <m:t>(</m:t>
                  </m:r>
                  <m:r>
                    <m:t>a</m:t>
                  </m:r>
                  <m:r>
                    <m:t>)</m:t>
                  </m:r>
                  <m:r>
                    <m:t>,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k,a</m:t>
                      </m:r>
                    </m:sub>
                    <m:sup>
                      <m:r>
                        <m:rPr>
                          <m:sty m:val="p"/>
                        </m:rPr>
                        <m:t>loc</m:t>
                      </m:r>
                    </m:sup>
                  </m:sSubSup>
                </m:e>
              </m:d>
              <m:r>
                <m:t>,</m:t>
              </m:r>
              <m:r>
                <m:t>j∈{1,2}.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commentRangeStart w:id="24"/>
            <w:r>
              <w:rPr>
                <w:rFonts w:ascii="Times New Roman" w:hAnsi="Times New Roman" w:eastAsia="宋体"/>
                <w:sz w:val="21"/>
              </w:rPr>
              <w:t>(25)</w:t>
            </w:r>
            <w:commentRangeEnd w:id="24"/>
            <w:r>
              <w:rPr>
                <w:rStyle w:val="CommentReference"/>
              </w:rPr>
              <w:commentReference w:id="24"/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  <w:b w:val="0"/>
        </w:rPr>
        <w:t>式 (25) 中，</w:t>
      </w:r>
      <m:oMath>
        <m:sSub>
          <m:e>
            <m:r>
              <m:t>F</m:t>
            </m:r>
          </m:e>
          <m:sub>
            <m:sSub>
              <m:e>
                <m:r>
                  <m:t>ψ</m:t>
                </m:r>
              </m:e>
              <m:sub>
                <m:r>
                  <m:t>j</m:t>
                </m:r>
              </m:sub>
            </m:sSub>
          </m:sub>
        </m:sSub>
      </m:oMath>
      <w:r>
        <w:rPr>
          <w:rFonts w:ascii="Times New Roman" w:hAnsi="Times New Roman" w:eastAsia="宋体"/>
          <w:b w:val="0"/>
        </w:rPr>
        <w:t xml:space="preserve"> 是第 </w:t>
      </w:r>
      <m:oMath>
        <m:r>
          <m:t>j</m:t>
        </m:r>
      </m:oMath>
      <w:r>
        <w:rPr>
          <w:rFonts w:ascii="Times New Roman" w:hAnsi="Times New Roman" w:eastAsia="宋体"/>
          <w:b w:val="0"/>
        </w:rPr>
        <w:t xml:space="preserve"> 个动作对齐价值网络，</w:t>
      </w:r>
      <m:oMath>
        <m:sSubSup>
          <m:e>
            <m:r>
              <m:t>s</m:t>
            </m:r>
          </m:e>
          <m:sub>
            <m:r>
              <m:t>k,a</m:t>
            </m:r>
          </m:sub>
          <m:sup>
            <m:r>
              <m:rPr>
                <m:sty m:val="p"/>
              </m:rPr>
              <m:t>loc</m:t>
            </m:r>
          </m:sup>
        </m:sSubSup>
      </m:oMath>
      <w:r>
        <w:rPr>
          <w:rFonts w:ascii="Times New Roman" w:hAnsi="Times New Roman" w:eastAsia="宋体"/>
          <w:b w:val="0"/>
        </w:rPr>
        <w:t xml:space="preserve"> 是从当前可观测状态中提取的动作相关局部信息。两个 Critic 结构相同但参数独立，并在 Bellman target 和 Actor 更新中采用较小预测值，以抑制价值高估。</w:t>
      </w:r>
    </w:p>
    <w:p>
      <w:pPr>
        <w:pStyle w:val="4"/>
        <w:keepNext/>
        <w:ind w:firstLine="0"/>
      </w:pPr>
      <w:r>
        <w:t>4.5 尾部风险预算训练</w:t>
      </w:r>
    </w:p>
    <w:p>
      <w:pPr>
        <w:ind w:firstLine="420"/>
        <w:jc w:val="both"/>
      </w:pPr>
      <w:commentRangeStart w:id="11"/>
      <w:r>
        <w:rPr>
          <w:rFonts w:ascii="Times New Roman" w:hAnsi="Times New Roman" w:eastAsia="宋体"/>
        </w:rPr>
        <w:t>经验 p99 只有在收集完整请求 cohort 后才能计算，难以为每个事件提供及时训练信号。为此，本文根据当前队列积压与队首 slack 构造连续尾部风险水平，并对一个动作持续期间的风险进行梯形积分近似：</w:t>
      </w:r>
      <w:commentRangeEnd w:id="11"/>
      <w:r>
        <w:rPr>
          <w:rStyle w:val="CommentReference"/>
        </w:rPr>
        <w:commentReference w:id="11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0" w:after="0"/>
              <w:ind w:firstLine="0"/>
              <w:jc w:val="center"/>
            </w:pPr>
            <m:oMath>
              <m:sSub>
                <m:e>
                  <m:r>
                    <m:t>ξ</m:t>
                  </m:r>
                </m:e>
                <m:sub>
                  <m:r>
                    <m:t>m,k</m:t>
                  </m:r>
                </m:sub>
              </m:sSub>
              <m: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q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t>(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)</m:t>
                  </m:r>
                </m:num>
                <m:den>
                  <m:r>
                    <m:t>max(</m:t>
                  </m:r>
                  <m:sSub>
                    <m:e>
                      <m:limUpp>
                        <m:e>
                          <m:r>
                            <m:t>λ</m:t>
                          </m:r>
                        </m:e>
                        <m:lim>
                          <m:r>
                            <m:t>^</m:t>
                          </m:r>
                        </m:lim>
                      </m:limUpp>
                    </m:e>
                    <m:sub>
                      <m:r>
                        <m:t>m,k</m:t>
                      </m:r>
                    </m:sub>
                  </m:sSub>
                  <m:sSub>
                    <m:e>
                      <m:r>
                        <m:t>δ</m:t>
                      </m:r>
                    </m:e>
                    <m:sub>
                      <m:r>
                        <m:rPr>
                          <m:sty m:val="p"/>
                        </m:rPr>
                        <m:t>ref</m:t>
                      </m:r>
                    </m:sub>
                  </m:sSub>
                  <m:r>
                    <m:t>,1)</m:t>
                  </m:r>
                </m:den>
              </m:f>
              <m:sSubSup>
                <m:e>
                  <m:d>
                    <m:dPr>
                      <m:begChr m:val="["/>
                      <m:sepChr m:val="−"/>
                      <m:endChr m:val="]"/>
                    </m:dPr>
                    <m:e>
                      <m:sSub>
                        <m:e>
                          <m:r>
                            <m:t>η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e>
                    <m:e>
                      <m:sSub>
                        <m:e>
                          <m:limUpp>
                            <m:e>
                              <m:r>
                                <m:t>s</m:t>
                              </m:r>
                            </m:e>
                            <m:lim>
                              <m:r>
                                <m:t>~</m:t>
                              </m:r>
                            </m:lim>
                          </m:limUpp>
                        </m:e>
                        <m:sub>
                          <m:r>
                            <m:t>m,k</m:t>
                          </m:r>
                        </m:sub>
                      </m:sSub>
                    </m:e>
                  </m:d>
                </m:e>
                <m:sub>
                  <m:r>
                    <m:t>+</m:t>
                  </m:r>
                </m:sub>
                <m:sup>
                  <m:r>
                    <m:t>p</m:t>
                  </m:r>
                </m:sup>
              </m:sSubSup>
              <m:r>
                <m:t>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t>=clip</m:t>
              </m:r>
              <m:d>
                <m:dPr>
                  <m:sepChr m:val=","/>
                </m:dPr>
                <m:e>
                  <m:nary>
                    <m:naryPr>
                      <m:chr m:val="∑"/>
                      <m:limLoc m:val="subSup"/>
                      <m:grow m:val="1"/>
                      <m:subHide m:val="off"/>
                      <m:supHide m:val="on"/>
                    </m:naryPr>
                    <m:sub>
                      <m:r>
                        <m:t>m∈</m:t>
                      </m:r>
                      <m:r>
                        <m:rPr>
                          <m:scr m:val="script"/>
                        </m:rPr>
                        <m:t>M</m:t>
                      </m:r>
                    </m:sub>
                    <m:sup/>
                    <m:e>
                      <m:sSub>
                        <m:e>
                          <m:r>
                            <m:t>ξ</m:t>
                          </m:r>
                        </m:e>
                        <m:sub>
                          <m:r>
                            <m:t>m,k</m:t>
                          </m:r>
                        </m:sub>
                      </m:sSub>
                    </m:e>
                  </m:nary>
                </m:e>
                <m:e>
                  <m:r>
                    <m:t>0</m:t>
                  </m:r>
                </m:e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max</m:t>
                      </m:r>
                    </m:sub>
                  </m:sSub>
                </m:e>
              </m:d>
              <m:r>
                <m:t>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Sup>
                <m:e>
                  <m:r>
                    <m:t>c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tail</m:t>
                  </m:r>
                </m:sup>
              </m:sSubSup>
              <m: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+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k+1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t>Δ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sSub>
                    <m:e>
                      <m:r>
                        <m:t>δ</m:t>
                      </m:r>
                    </m:e>
                    <m:sub>
                      <m:r>
                        <m:rPr>
                          <m:sty m:val="p"/>
                        </m:rPr>
                        <m:t>ref</m:t>
                      </m:r>
                    </m:sub>
                  </m:sSub>
                </m:den>
              </m:f>
              <m:r>
                <m:t>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commentRangeStart w:id="25"/>
            <w:r>
              <w:rPr>
                <w:rFonts w:ascii="Times New Roman" w:hAnsi="Times New Roman" w:eastAsia="宋体"/>
                <w:sz w:val="21"/>
              </w:rPr>
              <w:t>(26)</w:t>
            </w:r>
            <w:commentRangeEnd w:id="25"/>
            <w:r>
              <w:rPr>
                <w:rStyle w:val="CommentReference"/>
              </w:rPr>
              <w:commentReference w:id="25"/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  <w:b w:val="0"/>
        </w:rPr>
        <w:t>式 (26) 中，</w:t>
      </w:r>
      <m:oMath>
        <m:sSub>
          <m:e>
            <m:r>
              <m:t>ξ</m:t>
            </m:r>
          </m:e>
          <m:sub>
            <m:r>
              <m:t>m,k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表示模型 </w:t>
      </w:r>
      <m:oMath>
        <m:r>
          <m:t>m</m:t>
        </m:r>
      </m:oMath>
      <w:r>
        <w:rPr>
          <w:rFonts w:ascii="Times New Roman" w:hAnsi="Times New Roman" w:eastAsia="宋体"/>
          <w:b w:val="0"/>
        </w:rPr>
        <w:t xml:space="preserve"> 在事件 </w:t>
      </w:r>
      <m:oMath>
        <m:r>
          <m:t>k</m:t>
        </m:r>
      </m:oMath>
      <w:r>
        <w:rPr>
          <w:rFonts w:ascii="Times New Roman" w:hAnsi="Times New Roman" w:eastAsia="宋体"/>
          <w:b w:val="0"/>
        </w:rPr>
        <w:t xml:space="preserve"> 的尾部风险贡献，</w:t>
      </w:r>
      <m:oMath>
        <m:sSub>
          <m:e>
            <m:limUpp>
              <m:e>
                <m:r>
                  <m:t>s</m:t>
                </m:r>
              </m:e>
              <m:lim>
                <m:r>
                  <m:t>~</m:t>
                </m:r>
              </m:lim>
            </m:limUpp>
          </m:e>
          <m:sub>
            <m:r>
              <m:t>m,k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为其队首请求的归一化 slack，</w:t>
      </w:r>
      <m:oMath>
        <m:sSub>
          <m:e>
            <m:r>
              <m:t>η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为风险触发阈值，</w:t>
      </w:r>
      <m:oMath>
        <m:r>
          <m:t>p</m:t>
        </m:r>
      </m:oMath>
      <w:r>
        <w:rPr>
          <w:rFonts w:ascii="Times New Roman" w:hAnsi="Times New Roman" w:eastAsia="宋体"/>
          <w:b w:val="0"/>
        </w:rPr>
        <w:t xml:space="preserve"> 控制对紧迫程度的非线性放大，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ref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是时间归一化常数，</w:t>
      </w:r>
      <m:oMath>
        <m:r>
          <m:t>Δ</m:t>
        </m:r>
        <m:sSub>
          <m:e>
            <m:r>
              <m:t>t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为动作持续时间。</w:t>
      </w:r>
      <m:oMath>
        <m:sSub>
          <m:e>
            <m:r>
              <m:t>R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为事件时刻的总体风险水平，</w:t>
      </w:r>
      <m:oMath>
        <m:sSub>
          <m:e>
            <m:r>
              <m:t>C</m:t>
            </m:r>
          </m:e>
          <m:sub>
            <m:r>
              <m:t>max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为其数值截断上限。只有 slack 低于阈值的积压进入风险项，长时间占用设备的动作会按持续时间承担更高代价。</w:t>
      </w:r>
      <m:oMath>
        <m:r>
          <m:t>clip(·)</m:t>
        </m:r>
      </m:oMath>
      <w:r>
        <w:rPr>
          <w:rFonts w:ascii="Times New Roman" w:hAnsi="Times New Roman" w:eastAsia="宋体"/>
          <w:b w:val="0"/>
        </w:rPr>
        <w:t xml:space="preserve"> 用于限制极端积压对数值稳定性的影响。该代理用于训练，不与式 (15) 的经验 p99 混同。</w:t>
      </w:r>
    </w:p>
    <w:p>
      <w:pPr>
        <w:ind w:firstLine="420"/>
        <w:jc w:val="both"/>
      </w:pPr>
      <w:commentRangeStart w:id="12"/>
      <w:r>
        <w:rPr>
          <w:rFonts w:ascii="Times New Roman" w:hAnsi="Times New Roman" w:eastAsia="宋体"/>
        </w:rPr>
        <w:t>每个物理时间 n-step 转移同时保存模型级违约计数、纳入 SLA 统计的请求数和 profile-estimated 能耗。Critic 更新时使用当前模型级对偶变量重构即时奖励：</w:t>
      </w:r>
      <w:commentRangeEnd w:id="12"/>
      <w:r>
        <w:rPr>
          <w:rStyle w:val="CommentReference"/>
        </w:rPr>
        <w:commentReference w:id="12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0" w:after="0"/>
              <w:ind w:firstLine="0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t>=−κ</m:t>
              </m:r>
              <m:sSubSup>
                <m:e>
                  <m:r>
                    <m:t>c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tail</m:t>
                  </m:r>
                </m:sup>
              </m:sSubSup>
            </m:oMath>
          </w:p>
          <w:p>
            <w:pPr>
              <w:spacing w:before="0" w:after="0"/>
              <w:ind w:firstLine="0"/>
              <w:jc w:val="center"/>
            </w:pPr>
            <m:oMath>
              <m:r>
                <m:t>−κ</m:t>
              </m:r>
              <m:nary>
                <m:naryPr>
                  <m:chr m:val="∑"/>
                  <m:limLoc m:val="subSup"/>
                  <m:grow m:val="1"/>
                  <m:subHide m:val="off"/>
                  <m:supHide m:val="on"/>
                </m:naryPr>
                <m:sub>
                  <m:r>
                    <m:t>m∈</m:t>
                  </m:r>
                  <m:r>
                    <m:rPr>
                      <m:scr m:val="script"/>
                    </m:rPr>
                    <m:t>M</m:t>
                  </m:r>
                </m:sub>
                <m:sup/>
                <m:e>
                  <m:sSubSup>
                    <m:e>
                      <m:r>
                        <m:t>λ</m:t>
                      </m:r>
                    </m:e>
                    <m:sub>
                      <m:r>
                        <m:t>m,k</m:t>
                      </m:r>
                    </m:sub>
                    <m:sup>
                      <m:r>
                        <m:rPr>
                          <m:sty m:val="p"/>
                        </m:rPr>
                        <m:t>SLA</m:t>
                      </m:r>
                    </m:sup>
                  </m:sSubSup>
                </m:e>
              </m:nary>
              <m:d>
                <m:dPr>
                  <m:sepChr m:val="−"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m,k</m:t>
                      </m:r>
                    </m:sub>
                  </m:sSub>
                </m:e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m</m:t>
                      </m:r>
                    </m:sub>
                  </m:sSub>
                  <m:sSub>
                    <m:e>
                      <m:r>
                        <m:t>n</m:t>
                      </m:r>
                    </m:e>
                    <m:sub>
                      <m:r>
                        <m:t>m,k</m:t>
                      </m:r>
                    </m:sub>
                  </m:sSub>
                </m:e>
              </m:d>
            </m:oMath>
          </w:p>
          <w:p>
            <w:pPr>
              <w:spacing w:before="0" w:after="0"/>
              <w:ind w:firstLine="0"/>
              <w:jc w:val="center"/>
            </w:pPr>
            <m:oMath>
              <m:r>
                <m:t>−κ</m:t>
              </m:r>
              <m:sSub>
                <m:e>
                  <m:d>
                    <m:dPr>
                      <m:begChr m:val="["/>
                      <m:sepChr m:val="−"/>
                      <m:endChr m:val="]"/>
                    </m:dPr>
                    <m:e>
                      <m:sSub>
                        <m:e>
                          <m:limUpp>
                            <m:e>
                              <m:r>
                                <m:t>e</m:t>
                              </m:r>
                            </m:e>
                            <m:lim>
                              <m:r>
                                <m:t>^</m:t>
                              </m:r>
                            </m:lim>
                          </m:limUpp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  <m:e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max</m:t>
                          </m:r>
                        </m:sub>
                      </m:s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d>
                </m:e>
                <m:sub>
                  <m:r>
                    <m:t>+</m:t>
                  </m:r>
                </m:sub>
              </m:sSub>
              <m:r>
                <m:t>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  <m:r>
                <m:t>=</m:t>
              </m:r>
              <m:nary>
                <m:naryPr>
                  <m:chr m:val="∑"/>
                  <m:limLoc m:val="subSup"/>
                  <m:grow m:val="1"/>
                  <m:subHide m:val="off"/>
                  <m:supHide m:val="on"/>
                </m:naryPr>
                <m:sub>
                  <m:r>
                    <m:t>m∈</m:t>
                  </m:r>
                  <m:r>
                    <m:rPr>
                      <m:scr m:val="script"/>
                    </m:rPr>
                    <m:t>M</m:t>
                  </m:r>
                </m:sub>
                <m:sup/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m,k</m:t>
                      </m:r>
                    </m:sub>
                  </m:sSub>
                </m:e>
              </m:nary>
              <m:r>
                <m:t>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commentRangeStart w:id="26"/>
            <w:r>
              <w:rPr>
                <w:rFonts w:ascii="Times New Roman" w:hAnsi="Times New Roman" w:eastAsia="宋体"/>
                <w:sz w:val="21"/>
              </w:rPr>
              <w:t>(27)</w:t>
            </w:r>
            <w:commentRangeEnd w:id="26"/>
            <w:r>
              <w:rPr>
                <w:rStyle w:val="CommentReference"/>
              </w:rPr>
              <w:commentReference w:id="26"/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  <w:b w:val="0"/>
        </w:rPr>
        <w:t>式 (27) 中，</w:t>
      </w:r>
      <m:oMath>
        <m:sSub>
          <m:e>
            <m:r>
              <m:t>v</m:t>
            </m:r>
          </m:e>
          <m:sub>
            <m:r>
              <m:t>m,k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和 </w:t>
      </w:r>
      <m:oMath>
        <m:sSub>
          <m:e>
            <m:r>
              <m:t>n</m:t>
            </m:r>
          </m:e>
          <m:sub>
            <m:r>
              <m:t>m,k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分别为聚合转移内模型 </w:t>
      </w:r>
      <m:oMath>
        <m:r>
          <m:t>m</m:t>
        </m:r>
      </m:oMath>
      <w:r>
        <w:rPr>
          <w:rFonts w:ascii="Times New Roman" w:hAnsi="Times New Roman" w:eastAsia="宋体"/>
          <w:b w:val="0"/>
        </w:rPr>
        <w:t xml:space="preserve"> 的违约请求数与 SLA 统计请求数，</w:t>
      </w:r>
      <m:oMath>
        <m:sSubSup>
          <m:e>
            <m:r>
              <m:t>λ</m:t>
            </m:r>
          </m:e>
          <m:sub>
            <m:r>
              <m:t>m,k</m:t>
            </m:r>
          </m:sub>
          <m:sup>
            <m:r>
              <m:rPr>
                <m:sty m:val="p"/>
              </m:rPr>
              <m:t>SLA</m:t>
            </m:r>
          </m:sup>
        </m:sSubSup>
      </m:oMath>
      <w:r>
        <w:rPr>
          <w:rFonts w:ascii="Times New Roman" w:hAnsi="Times New Roman" w:eastAsia="宋体"/>
          <w:b w:val="0"/>
        </w:rPr>
        <w:t xml:space="preserve"> 为模型级对偶权重；</w:t>
      </w:r>
      <m:oMath>
        <m:sSub>
          <m:e>
            <m:r>
              <m:t>v</m:t>
            </m:r>
          </m:e>
          <m:sub>
            <m:r>
              <m:t>m,k</m:t>
            </m:r>
          </m:sub>
        </m:sSub>
        <m:r>
          <m:t>−</m:t>
        </m:r>
        <m:sSub>
          <m:e>
            <m:r>
              <m:t>ε</m:t>
            </m:r>
          </m:e>
          <m:sub>
            <m:r>
              <m:t>m</m:t>
            </m:r>
          </m:sub>
        </m:sSub>
        <m:sSub>
          <m:e>
            <m:r>
              <m:t>n</m:t>
            </m:r>
          </m:e>
          <m:sub>
            <m:r>
              <m:t>m,k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为相对允许违约比例的偏差。</w:t>
      </w:r>
      <m:oMath>
        <m:sSub>
          <m:e>
            <m:limUpp>
              <m:e>
                <m:r>
                  <m:t>e</m:t>
                </m:r>
              </m:e>
              <m:lim>
                <m:r>
                  <m:t>^</m:t>
                </m:r>
              </m:lim>
            </m:limUpp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为转移累计的 profile-estimated 能耗，只有超过 </w:t>
      </w:r>
      <m:oMath>
        <m:sSub>
          <m:e>
            <m:r>
              <m:t>E</m:t>
            </m:r>
          </m:e>
          <m:sub>
            <m:r>
              <m:t>max</m:t>
            </m:r>
          </m:sub>
        </m:sSub>
        <m:sSub>
          <m:e>
            <m:r>
              <m:t>n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的部分受到惩罚。</w:t>
      </w:r>
      <m:oMath>
        <m:r>
          <m:t>[x</m:t>
        </m:r>
        <m:sSub>
          <m:e>
            <m:r>
              <m:t>]</m:t>
            </m:r>
          </m:e>
          <m:sub>
            <m:r>
              <m:t>+</m:t>
            </m:r>
          </m:sub>
        </m:sSub>
        <m:r>
          <m:t>=max(x,0)</m:t>
        </m:r>
      </m:oMath>
      <w:r>
        <w:rPr>
          <w:rFonts w:ascii="Times New Roman" w:hAnsi="Times New Roman" w:eastAsia="宋体"/>
          <w:b w:val="0"/>
        </w:rPr>
        <w:t>，</w:t>
      </w:r>
      <m:oMath>
        <m:r>
          <m:t>κ&gt;0</m:t>
        </m:r>
      </m:oMath>
      <w:r>
        <w:rPr>
          <w:rFonts w:ascii="Times New Roman" w:hAnsi="Times New Roman" w:eastAsia="宋体"/>
          <w:b w:val="0"/>
        </w:rPr>
        <w:t xml:space="preserve"> 为统一奖励尺度。回放缓冲区保存这些组成分量，训练时按当前对偶权重重构 </w:t>
      </w:r>
      <m:oMath>
        <m:sSub>
          <m:e>
            <m:r>
              <m:t>r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  <w:b w:val="0"/>
        </w:rPr>
        <w:t>，从而使历史转移与更新后的约束压力一致。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每个 episode 结束后，模型级 SLA 对偶变量按照观测违约率更新：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0" w:after="0"/>
              <w:ind w:firstLine="0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m,k</m:t>
                  </m:r>
                </m:sub>
              </m:sSub>
              <m:r>
                <m:t>=</m:t>
              </m:r>
              <m:sSubSup>
                <m:e>
                  <m:r>
                    <m:t>λ</m:t>
                  </m:r>
                </m:e>
                <m:sub>
                  <m:r>
                    <m:t>m,k</m:t>
                  </m:r>
                </m:sub>
                <m:sup>
                  <m:r>
                    <m:rPr>
                      <m:sty m:val="p"/>
                    </m:rPr>
                    <m:t>SLA</m:t>
                  </m:r>
                </m:sup>
              </m:sSubSup>
              <m:r>
                <m:t>+</m:t>
              </m:r>
              <m:sSub>
                <m:e>
                  <m:r>
                    <m:t>η</m:t>
                  </m:r>
                </m:e>
                <m:sub>
                  <m:r>
                    <m:t>λ</m:t>
                  </m:r>
                </m:sub>
              </m:sSub>
              <m:d>
                <m:dPr>
                  <m:sepChr m:val="−"/>
                </m:dPr>
                <m:e>
                  <m:sSub>
                    <m:e>
                      <m:limUpp>
                        <m:e>
                          <m:r>
                            <m:t>ν</m:t>
                          </m:r>
                        </m:e>
                        <m:lim>
                          <m:r>
                            <m:t>^</m:t>
                          </m:r>
                        </m:lim>
                      </m:limUpp>
                    </m:e>
                    <m:sub>
                      <m:r>
                        <m:t>m,k</m:t>
                      </m:r>
                    </m:sub>
                  </m:sSub>
                </m:e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Sup>
                <m:e>
                  <m:r>
                    <m:t>λ</m:t>
                  </m:r>
                </m:e>
                <m:sub>
                  <m:r>
                    <m:t>m,k+1</m:t>
                  </m:r>
                </m:sub>
                <m:sup>
                  <m:r>
                    <m:rPr>
                      <m:sty m:val="p"/>
                    </m:rPr>
                    <m:t>SLA</m:t>
                  </m:r>
                </m:sup>
              </m:sSubSup>
              <m:r>
                <m:t>=</m:t>
              </m:r>
              <m:sSub>
                <m:e>
                  <m:r>
                    <m:t>Π</m:t>
                  </m:r>
                </m:e>
                <m:sub>
                  <m:d>
                    <m:dPr>
                      <m:begChr m:val="["/>
                      <m:sepChr m:val=","/>
                      <m:endChr m:val="]"/>
                    </m:dPr>
                    <m:e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min</m:t>
                          </m:r>
                        </m:sub>
                      </m:sSub>
                    </m:e>
                    <m:e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max</m:t>
                          </m:r>
                        </m:sub>
                      </m:sSub>
                    </m:e>
                  </m:d>
                </m:sub>
              </m:sSub>
              <m:d>
                <m:dPr>
                  <m:sepChr m:val=""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m,k</m:t>
                      </m:r>
                    </m:sub>
                  </m:sSub>
                </m:e>
              </m:d>
              <m:r>
                <m:t>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commentRangeStart w:id="27"/>
            <w:r>
              <w:rPr>
                <w:rFonts w:ascii="Times New Roman" w:hAnsi="Times New Roman" w:eastAsia="宋体"/>
                <w:sz w:val="21"/>
              </w:rPr>
              <w:t>(28)</w:t>
            </w:r>
            <w:commentRangeEnd w:id="27"/>
            <w:r>
              <w:rPr>
                <w:rStyle w:val="CommentReference"/>
              </w:rPr>
              <w:commentReference w:id="27"/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  <w:b w:val="0"/>
        </w:rPr>
        <w:t>式 (28) 中，</w:t>
      </w:r>
      <m:oMath>
        <m:sSub>
          <m:e>
            <m:r>
              <m:t>u</m:t>
            </m:r>
          </m:e>
          <m:sub>
            <m:r>
              <m:t>m,k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为投影前的对偶更新值，</w:t>
      </w:r>
      <m:oMath>
        <m:sSub>
          <m:e>
            <m:limUpp>
              <m:e>
                <m:r>
                  <m:t>ν</m:t>
                </m:r>
              </m:e>
              <m:lim>
                <m:r>
                  <m:t>^</m:t>
                </m:r>
              </m:lim>
            </m:limUpp>
          </m:e>
          <m:sub>
            <m:r>
              <m:t>m,k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为本 episode 的模型级违约率，</w:t>
      </w:r>
      <m:oMath>
        <m:sSub>
          <m:e>
            <m:r>
              <m:t>η</m:t>
            </m:r>
          </m:e>
          <m:sub>
            <m:r>
              <m:t>λ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为对偶学习率，</w:t>
      </w:r>
      <m:oMath>
        <m:r>
          <m:t>Π</m:t>
        </m:r>
      </m:oMath>
      <w:r>
        <w:rPr>
          <w:rFonts w:ascii="Times New Roman" w:hAnsi="Times New Roman" w:eastAsia="宋体"/>
          <w:b w:val="0"/>
        </w:rPr>
        <w:t xml:space="preserve"> 为区间投影。违约率高于目标时，对应模型的后续惩罚增强；低于目标时则减弱。独立对偶变量避免宽松模型的结果掩盖紧 deadline 模型。</w:t>
      </w:r>
    </w:p>
    <w:p>
      <w:pPr>
        <w:ind w:firstLine="420"/>
        <w:jc w:val="both"/>
      </w:pPr>
      <w:commentRangeStart w:id="13"/>
      <w:r>
        <w:rPr>
          <w:rFonts w:ascii="Times New Roman" w:hAnsi="Times New Roman" w:eastAsia="宋体"/>
          <w:b w:val="0"/>
        </w:rPr>
        <w:t xml:space="preserve">事件动作具有不同持续时间。令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为从事件 </w:t>
      </w:r>
      <m:oMath>
        <m:r>
          <m:t>k</m:t>
        </m:r>
      </m:oMath>
      <w:r>
        <w:rPr>
          <w:rFonts w:ascii="Times New Roman" w:hAnsi="Times New Roman" w:eastAsia="宋体"/>
          <w:b w:val="0"/>
        </w:rPr>
        <w:t xml:space="preserve"> 开始，最先达到预设物理时间窗、最大决策数或 episode 边界的聚合步数，并令 </w:t>
      </w:r>
      <m:oMath>
        <m:sSub>
          <m:e>
            <m:r>
              <m:t>Δ</m:t>
            </m:r>
          </m:e>
          <m:sub>
            <m:r>
              <m:t>k,ℓ</m:t>
            </m:r>
          </m:sub>
        </m:sSub>
        <m:r>
          <m:t>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u=0</m:t>
            </m:r>
          </m:sub>
          <m:sup>
            <m:r>
              <m:t>ℓ−1</m:t>
            </m:r>
          </m:sup>
          <m:e>
            <m:r>
              <m:t>Δ</m:t>
            </m:r>
          </m:e>
        </m:nary>
        <m:sSub>
          <m:e>
            <m:r>
              <m:t>t</m:t>
            </m:r>
          </m:e>
          <m:sub>
            <m:r>
              <m:t>k+u</m:t>
            </m:r>
          </m:sub>
        </m:sSub>
      </m:oMath>
      <w:r>
        <w:rPr>
          <w:rFonts w:ascii="Times New Roman" w:hAnsi="Times New Roman" w:eastAsia="宋体"/>
          <w:b w:val="0"/>
        </w:rPr>
        <w:t>。物理时间 n-step soft target 为</w:t>
      </w:r>
      <w:commentRangeEnd w:id="13"/>
      <w:r>
        <w:rPr>
          <w:rStyle w:val="CommentReference"/>
        </w:rPr>
        <w:commentReference w:id="13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0" w:after="0"/>
              <w:ind w:firstLine="0"/>
              <w:jc w:val="center"/>
            </w:pPr>
            <m:oMath>
              <m:sSubSup>
                <m:e>
                  <m:r>
                    <m:t>R</m:t>
                  </m:r>
                </m:e>
                <m:sub>
                  <m:r>
                    <m:t>k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t>N</m:t>
                      </m:r>
                    </m:e>
                  </m:d>
                </m:sup>
              </m:sSubSup>
              <m:r>
                <m:t>=</m:t>
              </m:r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>ℓ=0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−1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−β</m:t>
                      </m:r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k,ℓ</m:t>
                          </m:r>
                        </m:sub>
                      </m:sSub>
                    </m:sup>
                  </m:sSup>
                </m:e>
              </m:nary>
              <m:sSub>
                <m:e>
                  <m:r>
                    <m:t>r</m:t>
                  </m:r>
                </m:e>
                <m:sub>
                  <m:r>
                    <m:t>k+ℓ</m:t>
                  </m:r>
                </m:sub>
              </m:sSub>
              <m:r>
                <m:t>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>
                <m:e>
                  <m:acc>
                    <m:accPr>
                      <m:chr m:val="―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k+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  <m:r>
                <m:t>(</m:t>
              </m:r>
              <m:sSup>
                <m:e>
                  <m:r>
                    <m:t>a</m:t>
                  </m:r>
                </m:e>
                <m:sup>
                  <m:r>
                    <m:t>′</m:t>
                  </m:r>
                </m:sup>
              </m:sSup>
              <m:r>
                <m:t>)=</m:t>
              </m:r>
              <m:sSub>
                <m:e>
                  <m:r>
                    <m:t>min</m:t>
                  </m:r>
                </m:e>
                <m:sub>
                  <m:r>
                    <m:t>j∈{1,2}</m:t>
                  </m:r>
                </m:sub>
              </m:sSub>
              <m:sSub>
                <m:e>
                  <m:r>
                    <m:t>Q</m:t>
                  </m:r>
                </m:e>
                <m:sub>
                  <m:sSub>
                    <m:e>
                      <m:bar>
                        <m:barPr>
                          <m:pos m:val="top"/>
                        </m:barPr>
                        <m:e>
                          <m:r>
                            <m:t>ψ</m:t>
                          </m:r>
                        </m:e>
                      </m:bar>
                    </m:e>
                    <m:sub>
                      <m:r>
                        <m:t>j</m:t>
                      </m:r>
                    </m:sub>
                  </m:sSub>
                </m:sub>
              </m:sSub>
              <m:r>
                <m:t>(</m:t>
              </m:r>
              <m:sSub>
                <m:e>
                  <m:r>
                    <m:t>c</m:t>
                  </m:r>
                </m:e>
                <m:sub>
                  <m:r>
                    <m:t>k+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  <m:r>
                <m:t>,</m:t>
              </m:r>
              <m:sSup>
                <m:e>
                  <m:r>
                    <m:t>a</m:t>
                  </m:r>
                </m:e>
                <m:sup>
                  <m:r>
                    <m:t>′</m:t>
                  </m:r>
                </m:sup>
              </m:sSup>
              <m:r>
                <m:t>)−α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t>(</m:t>
              </m:r>
              <m:sSup>
                <m:e>
                  <m:r>
                    <m:t>a</m:t>
                  </m:r>
                </m:e>
                <m:sup>
                  <m:r>
                    <m:t>′</m:t>
                  </m:r>
                </m:sup>
              </m:sSup>
              <m:r>
                <m:t>∣</m:t>
              </m:r>
              <m:sSub>
                <m:e>
                  <m:r>
                    <m:t>c</m:t>
                  </m:r>
                </m:e>
                <m:sub>
                  <m:r>
                    <m:t>k+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  <m:r>
                <m:t>),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>
                <m:e>
                  <m:acc>
                    <m:accPr>
                      <m:chr m:val="―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  <m:r>
                <m:t>=</m:t>
              </m:r>
              <m:nary>
                <m:naryPr>
                  <m:chr m:val="∑"/>
                  <m:limLoc m:val="subSup"/>
                  <m:grow m:val="1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t>′</m:t>
                      </m:r>
                    </m:sup>
                  </m:sSup>
                  <m:r>
                    <m:t>∈</m:t>
                  </m:r>
                  <m:sSubSup>
                    <m:e>
                      <m:r>
                        <m:rPr>
                          <m:scr m:val="script"/>
                        </m:rPr>
                        <m:t>A</m:t>
                      </m:r>
                    </m:e>
                    <m:sub>
                      <m:r>
                        <m:t>k+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  <m:sup>
                      <m:r>
                        <m:rPr>
                          <m:sty m:val="p"/>
                        </m:rPr>
                        <m:t>risk</m:t>
                      </m:r>
                    </m:sup>
                  </m:sSubSup>
                </m:sub>
                <m:sup/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θ</m:t>
                      </m:r>
                    </m:sub>
                  </m:sSub>
                </m:e>
              </m:nary>
              <m:r>
                <m:t>(</m:t>
              </m:r>
              <m:sSup>
                <m:e>
                  <m:r>
                    <m:t>a</m:t>
                  </m:r>
                </m:e>
                <m:sup>
                  <m:r>
                    <m:t>′</m:t>
                  </m:r>
                </m:sup>
              </m:sSup>
              <m:r>
                <m:t>∣</m:t>
              </m:r>
              <m:sSub>
                <m:e>
                  <m:r>
                    <m:t>c</m:t>
                  </m:r>
                </m:e>
                <m:sub>
                  <m:r>
                    <m:t>k+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  <m:r>
                <m:t>)</m:t>
              </m:r>
              <m:sSub>
                <m:e>
                  <m:acc>
                    <m:accPr>
                      <m:chr m:val="―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k+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  <m:r>
                <m:t>(</m:t>
              </m:r>
              <m:sSup>
                <m:e>
                  <m:r>
                    <m:t>a</m:t>
                  </m:r>
                </m:e>
                <m:sup>
                  <m:r>
                    <m:t>′</m:t>
                  </m:r>
                </m:sup>
              </m:sSup>
              <m:r>
                <m:t>),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Sup>
                <m:e>
                  <m:r>
                    <m:t>y</m:t>
                  </m:r>
                </m:e>
                <m:sub>
                  <m:r>
                    <m:t>k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t>N</m:t>
                      </m:r>
                    </m:e>
                  </m:d>
                </m:sup>
              </m:sSubSup>
              <m:r>
                <m:t>=</m:t>
              </m:r>
              <m:sSubSup>
                <m:e>
                  <m:r>
                    <m:t>R</m:t>
                  </m:r>
                </m:e>
                <m:sub>
                  <m:r>
                    <m:t>k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t>N</m:t>
                      </m:r>
                    </m:e>
                  </m:d>
                </m:sup>
              </m:sSubSup>
              <m:r>
                <m:t>+</m:t>
              </m:r>
              <m:sSup>
                <m:e>
                  <m:r>
                    <m:t>e</m:t>
                  </m:r>
                </m:e>
                <m:sup>
                  <m:r>
                    <m:t>−β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k,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sup>
              </m:sSup>
              <m:d>
                <m:dPr>
                  <m:sepChr m:val="−"/>
                </m:dPr>
                <m:e>
                  <m:r>
                    <m:t>1</m:t>
                  </m:r>
                </m:e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k+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−1</m:t>
                      </m:r>
                    </m:sub>
                  </m:sSub>
                </m:e>
              </m:d>
              <m:sSub>
                <m:e>
                  <m:acc>
                    <m:accPr>
                      <m:chr m:val="―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  <m:r>
                <m:t>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commentRangeStart w:id="28"/>
            <w:r>
              <w:rPr>
                <w:rFonts w:ascii="Times New Roman" w:hAnsi="Times New Roman" w:eastAsia="宋体"/>
                <w:sz w:val="21"/>
              </w:rPr>
              <w:t>(29)</w:t>
            </w:r>
            <w:commentRangeEnd w:id="28"/>
            <w:r>
              <w:rPr>
                <w:rStyle w:val="CommentReference"/>
              </w:rPr>
              <w:commentReference w:id="28"/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  <w:b w:val="0"/>
        </w:rPr>
        <w:t>式 (29) 中，</w:t>
      </w:r>
      <m:oMath>
        <m:sSubSup>
          <m:e>
            <m:r>
              <m:t>R</m:t>
            </m:r>
          </m:e>
          <m:sub>
            <m:r>
              <m:t>k</m:t>
            </m:r>
          </m:sub>
          <m:sup>
            <m:d>
              <m:dPr>
                <m:sepChr m:val=""/>
              </m:dPr>
              <m:e>
                <m:r>
                  <m:t>N</m:t>
                </m:r>
              </m:e>
            </m:d>
          </m:sup>
        </m:sSubSup>
      </m:oMath>
      <w:r>
        <w:rPr>
          <w:rFonts w:ascii="Times New Roman" w:hAnsi="Times New Roman" w:eastAsia="宋体"/>
          <w:b w:val="0"/>
        </w:rPr>
        <w:t xml:space="preserve"> 为按物理时间折扣的 N-step 累计奖励，</w:t>
      </w:r>
      <m:oMath>
        <m:sSub>
          <m:e>
            <m:acc>
              <m:accPr>
                <m:chr m:val="―"/>
              </m:accPr>
              <m:e>
                <m:r>
                  <m:t>Q</m:t>
                </m:r>
              </m:e>
            </m:acc>
          </m:e>
          <m:sub>
            <m:r>
              <m:t>k+</m:t>
            </m:r>
            <m:sSub>
              <m:e>
                <m:r>
                  <m:t>N</m:t>
                </m:r>
              </m:e>
              <m:sub>
                <m:r>
                  <m:t>k</m:t>
                </m:r>
              </m:sub>
            </m:sSub>
          </m:sub>
        </m:sSub>
        <m:r>
          <m:t>(</m:t>
        </m:r>
        <m:sSup>
          <m:e>
            <m:r>
              <m:t>a</m:t>
            </m:r>
          </m:e>
          <m:sup>
            <m:r>
              <m:t>′</m:t>
            </m:r>
          </m:sup>
        </m:sSup>
        <m:r>
          <m:t>)</m:t>
        </m:r>
      </m:oMath>
      <w:r>
        <w:rPr>
          <w:rFonts w:ascii="Times New Roman" w:hAnsi="Times New Roman" w:eastAsia="宋体"/>
          <w:b w:val="0"/>
        </w:rPr>
        <w:t xml:space="preserve"> 为包含策略熵项的保守目标动作价值，</w:t>
      </w:r>
      <m:oMath>
        <m:sSub>
          <m:e>
            <m:acc>
              <m:accPr>
                <m:chr m:val="―"/>
              </m:accPr>
              <m:e>
                <m:r>
                  <m:t>V</m:t>
                </m:r>
              </m:e>
            </m:acc>
          </m:e>
          <m:sub>
            <m:r>
              <m:t>k+</m:t>
            </m:r>
            <m:sSub>
              <m:e>
                <m:r>
                  <m:t>N</m:t>
                </m:r>
              </m:e>
              <m:sub>
                <m:r>
                  <m:t>k</m:t>
                </m:r>
              </m:sub>
            </m:sSub>
          </m:sub>
        </m:sSub>
      </m:oMath>
      <w:r>
        <w:rPr>
          <w:rFonts w:ascii="Times New Roman" w:hAnsi="Times New Roman" w:eastAsia="宋体"/>
          <w:b w:val="0"/>
        </w:rPr>
        <w:t xml:space="preserve"> 为门控动作集合上的期望后续价值。</w:t>
      </w:r>
      <m:oMath>
        <m:r>
          <m:t>β</m:t>
        </m:r>
      </m:oMath>
      <w:r>
        <w:rPr>
          <w:rFonts w:ascii="Times New Roman" w:hAnsi="Times New Roman" w:eastAsia="宋体"/>
          <w:b w:val="0"/>
        </w:rPr>
        <w:t xml:space="preserve"> 为物理时间折扣率，</w:t>
      </w:r>
      <m:oMath>
        <m:r>
          <m:t>d</m:t>
        </m:r>
      </m:oMath>
      <w:r>
        <w:rPr>
          <w:rFonts w:ascii="Times New Roman" w:hAnsi="Times New Roman" w:eastAsia="宋体"/>
          <w:b w:val="0"/>
        </w:rPr>
        <w:t xml:space="preserve"> 为 episode 终止标记，</w:t>
      </w:r>
      <m:oMath>
        <m:sSub>
          <m:e>
            <m:r>
              <m:t>Q</m:t>
            </m:r>
          </m:e>
          <m:sub>
            <m:sSub>
              <m:e>
                <m:bar>
                  <m:barPr>
                    <m:pos m:val="top"/>
                  </m:barPr>
                  <m:e>
                    <m:r>
                      <m:t>ψ</m:t>
                    </m:r>
                  </m:e>
                </m:bar>
              </m:e>
              <m:sub>
                <m:r>
                  <m:t>j</m:t>
                </m:r>
              </m:sub>
            </m:sSub>
          </m:sub>
        </m:sSub>
      </m:oMath>
      <w:r>
        <w:rPr>
          <w:rFonts w:ascii="Times New Roman" w:hAnsi="Times New Roman" w:eastAsia="宋体"/>
          <w:b w:val="0"/>
        </w:rPr>
        <w:t xml:space="preserve"> 为目标 Critic，</w:t>
      </w:r>
      <m:oMath>
        <m:r>
          <m:t>α</m:t>
        </m:r>
      </m:oMath>
      <w:r>
        <w:rPr>
          <w:rFonts w:ascii="Times New Roman" w:hAnsi="Times New Roman" w:eastAsia="宋体"/>
          <w:b w:val="0"/>
        </w:rPr>
        <w:t xml:space="preserve"> 为熵温度。回报按真实经过时间折扣，而不是假设 WAIT 与不同 batch 动作具有相同持续步长；episode 终止时后续价值被置零。</w:t>
      </w:r>
    </w:p>
    <w:p>
      <w:pPr>
        <w:ind w:firstLine="420"/>
        <w:jc w:val="both"/>
      </w:pPr>
      <w:commentRangeStart w:id="14"/>
      <w:r>
        <w:rPr>
          <w:rFonts w:ascii="Times New Roman" w:hAnsi="Times New Roman" w:eastAsia="宋体"/>
        </w:rPr>
        <w:t>Twin Critics 通过同一 target 进行均方误差回归：</w:t>
      </w:r>
      <w:commentRangeEnd w:id="14"/>
      <w:r>
        <w:rPr>
          <w:rStyle w:val="CommentReference"/>
        </w:rPr>
        <w:commentReference w:id="14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0" w:after="0"/>
              <w:ind w:firstLine="0"/>
              <w:jc w:val="center"/>
            </w:pPr>
            <m:oMath>
              <m:sSub>
                <m:e>
                  <m:r>
                    <m:rPr>
                      <m:scr m:val="script"/>
                    </m:rPr>
                    <m:t>L</m:t>
                  </m:r>
                </m:e>
                <m:sub>
                  <m:r>
                    <m:t>Q,j</m:t>
                  </m:r>
                </m:sub>
              </m:sSub>
              <m: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r>
                    <m:rPr>
                      <m:scr m:val="script"/>
                    </m:rPr>
                    <m:t>D</m:t>
                  </m:r>
                </m:sub>
              </m:sSub>
              <m:d>
                <m:dPr>
                  <m:begChr m:val="["/>
                  <m:sepChr m:val=""/>
                  <m:endChr m:val="]"/>
                </m:dPr>
                <m:e>
                  <m:sSup>
                    <m:e>
                      <m:d>
                        <m:dPr>
                          <m:sepChr m:val=""/>
                        </m:dPr>
                        <m:e>
                          <m:sSub>
                            <m:e>
                              <m:r>
                                <m:t>Q</m:t>
                              </m:r>
                            </m:e>
                            <m:sub>
                              <m:sSub>
                                <m:e>
                                  <m:r>
                                    <m:t>ψ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  <m:r>
                            <m:t>(</m:t>
                          </m:r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  <m:r>
                            <m:t>,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  <m:r>
                            <m:t>)</m:t>
                          </m:r>
                          <m:r>
                            <m:t>−</m:t>
                          </m:r>
                          <m:sSubSup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  <m:sup>
                              <m:d>
                                <m:dPr>
                                  <m:sepChr m:val=""/>
                                </m:dPr>
                                <m:e>
                                  <m:r>
                                    <m:t>N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,</m:t>
              </m:r>
              <m:r>
                <m:t>j∈{1,2},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>
                <m:e>
                  <m:r>
                    <m:t>min</m:t>
                  </m:r>
                </m:e>
                <m:sub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,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sSub>
                <m:e>
                  <m:r>
                    <m:rPr>
                      <m:scr m:val="script"/>
                    </m:rPr>
                    <m:t>L</m:t>
                  </m:r>
                </m:e>
                <m:sub>
                  <m:r>
                    <m:t>Q</m:t>
                  </m:r>
                </m:sub>
              </m:sSub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sepChr m:val="+"/>
                </m:dPr>
                <m:e>
                  <m:sSub>
                    <m:e>
                      <m:r>
                        <m:rPr>
                          <m:scr m:val="script"/>
                        </m:rPr>
                        <m:t>L</m:t>
                      </m:r>
                    </m:e>
                    <m:sub>
                      <m:r>
                        <m:t>Q,1</m:t>
                      </m:r>
                    </m:sub>
                  </m:sSub>
                </m:e>
                <m:e>
                  <m:sSub>
                    <m:e>
                      <m:r>
                        <m:rPr>
                          <m:scr m:val="script"/>
                        </m:rPr>
                        <m:t>L</m:t>
                      </m:r>
                    </m:e>
                    <m:sub>
                      <m:r>
                        <m:t>Q,2</m:t>
                      </m:r>
                    </m:sub>
                  </m:sSub>
                </m:e>
              </m:d>
              <m:r>
                <m:t>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commentRangeStart w:id="29"/>
            <w:r>
              <w:rPr>
                <w:rFonts w:ascii="Times New Roman" w:hAnsi="Times New Roman" w:eastAsia="宋体"/>
                <w:sz w:val="21"/>
              </w:rPr>
              <w:t>(30)</w:t>
            </w:r>
            <w:commentRangeEnd w:id="29"/>
            <w:r>
              <w:rPr>
                <w:rStyle w:val="CommentReference"/>
              </w:rPr>
              <w:commentReference w:id="29"/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  <w:b w:val="0"/>
        </w:rPr>
        <w:t>式 (30) 中，</w:t>
      </w:r>
      <m:oMath>
        <m:sSub>
          <m:e>
            <m:r>
              <m:rPr>
                <m:scr m:val="script"/>
              </m:rPr>
              <m:t>L</m:t>
            </m:r>
          </m:e>
          <m:sub>
            <m:r>
              <m:t>Q,j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为第 </w:t>
      </w:r>
      <m:oMath>
        <m:r>
          <m:t>j</m:t>
        </m:r>
      </m:oMath>
      <w:r>
        <w:rPr>
          <w:rFonts w:ascii="Times New Roman" w:hAnsi="Times New Roman" w:eastAsia="宋体"/>
          <w:b w:val="0"/>
        </w:rPr>
        <w:t xml:space="preserve"> 个在线 Critic 的 Bellman 均方误差，</w:t>
      </w:r>
      <m:oMath>
        <m:r>
          <m:rPr>
            <m:scr m:val="script"/>
          </m:rPr>
          <m:t>D</m:t>
        </m:r>
      </m:oMath>
      <w:r>
        <w:rPr>
          <w:rFonts w:ascii="Times New Roman" w:hAnsi="Times New Roman" w:eastAsia="宋体"/>
          <w:b w:val="0"/>
        </w:rPr>
        <w:t xml:space="preserve"> 为经验回放分布。回放先按训练场景平衡，再提高高压力和高尾部风险转移的采样比例，同时保留均匀样本以维持整体价值估计。训练还将部分当前尾部代价归因给仍在阻塞相关请求的先前 batch 派发，使早期占用决策获得风险信号。目标 Critic 不参与反向传播，并通过 Polyak 更新缓慢跟随在线 Critic。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Actor 在门控动作集合上采用离散 SAC 的最大熵目标：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0" w:after="0"/>
              <w:ind w:firstLine="0"/>
              <w:jc w:val="center"/>
            </w:pPr>
            <m:oMath>
              <m:sSubSup>
                <m:e>
                  <m:r>
                    <m:t>Q</m:t>
                  </m:r>
                </m:e>
                <m:sub>
                  <m:r>
                    <m:t>k</m:t>
                  </m:r>
                </m:sub>
                <m:sup>
                  <m:r>
                    <m:t>min</m:t>
                  </m:r>
                </m:sup>
              </m:sSubSup>
              <m:r>
                <m:t>(a)=</m:t>
              </m:r>
              <m:sSub>
                <m:e>
                  <m:r>
                    <m:t>min</m:t>
                  </m:r>
                </m:e>
                <m:sub>
                  <m:r>
                    <m:t>j∈{1,2}</m:t>
                  </m:r>
                </m:sub>
              </m:sSub>
              <m:sSub>
                <m:e>
                  <m:r>
                    <m:t>Q</m:t>
                  </m:r>
                </m:e>
                <m:sub>
                  <m:sSub>
                    <m:e>
                      <m:r>
                        <m:t>ψ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  <m: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t>,a),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>
                <m:e>
                  <m:r>
                    <m:t>g</m:t>
                  </m:r>
                </m:e>
                <m:sub>
                  <m:r>
                    <m:t>π,k</m:t>
                  </m:r>
                </m:sub>
              </m:sSub>
              <m:r>
                <m:t>(a)=α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t>(a∣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t>)−</m:t>
              </m:r>
              <m:sSubSup>
                <m:e>
                  <m:r>
                    <m:t>Q</m:t>
                  </m:r>
                </m:e>
                <m:sub>
                  <m:r>
                    <m:t>k</m:t>
                  </m:r>
                </m:sub>
                <m:sup>
                  <m:r>
                    <m:t>min</m:t>
                  </m:r>
                </m:sup>
              </m:sSubSup>
              <m:r>
                <m:t>(a),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>
                <m:e>
                  <m:r>
                    <m:t>J</m:t>
                  </m:r>
                </m:e>
                <m:sub>
                  <m:r>
                    <m:t>π,k</m:t>
                  </m:r>
                </m:sub>
              </m:sSub>
              <m:r>
                <m:t>=</m:t>
              </m:r>
              <m:nary>
                <m:naryPr>
                  <m:chr m:val="∑"/>
                  <m:limLoc m:val="subSup"/>
                  <m:grow m:val="1"/>
                  <m:subHide m:val="off"/>
                  <m:supHide m:val="on"/>
                </m:naryPr>
                <m:sub>
                  <m:r>
                    <m:t>a∈</m:t>
                  </m:r>
                  <m:sSubSup>
                    <m:e>
                      <m:r>
                        <m:rPr>
                          <m:scr m:val="script"/>
                        </m:rPr>
                        <m:t>A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risk</m:t>
                      </m:r>
                    </m:sup>
                  </m:sSubSup>
                </m:sub>
                <m:sup/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θ</m:t>
                      </m:r>
                    </m:sub>
                  </m:sSub>
                </m:e>
              </m:nary>
              <m:r>
                <m:t>(a∣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t>)</m:t>
              </m:r>
              <m:sSub>
                <m:e>
                  <m:r>
                    <m:t>g</m:t>
                  </m:r>
                </m:e>
                <m:sub>
                  <m:r>
                    <m:t>π,k</m:t>
                  </m:r>
                </m:sub>
              </m:sSub>
              <m:r>
                <m:t>(a),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>
                <m:e>
                  <m:r>
                    <m:t>min</m:t>
                  </m:r>
                </m:e>
                <m:sub>
                  <m:r>
                    <m:t>θ</m:t>
                  </m:r>
                </m:sub>
              </m:sSub>
              <m:sSub>
                <m:e>
                  <m:r>
                    <m:rPr>
                      <m:scr m:val="script"/>
                    </m:rPr>
                    <m:t>L</m:t>
                  </m:r>
                </m:e>
                <m:sub>
                  <m:r>
                    <m:t>π</m:t>
                  </m:r>
                </m:sub>
              </m:sSub>
              <m: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~</m:t>
                  </m:r>
                  <m:r>
                    <m:rPr>
                      <m:scr m:val="script"/>
                    </m:rPr>
                    <m:t>D</m:t>
                  </m:r>
                </m:sub>
              </m:sSub>
              <m:d>
                <m:dPr>
                  <m:begChr m:val="["/>
                  <m:sepChr m:val=""/>
                  <m:endChr m:val="]"/>
                </m:dPr>
                <m:e>
                  <m:sSub>
                    <m:e>
                      <m:r>
                        <m:t>J</m:t>
                      </m:r>
                    </m:e>
                    <m:sub>
                      <m:r>
                        <m:t>π,k</m:t>
                      </m:r>
                    </m:sub>
                  </m:sSub>
                </m:e>
              </m:d>
              <m:r>
                <m:t>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commentRangeStart w:id="30"/>
            <w:r>
              <w:rPr>
                <w:rFonts w:ascii="Times New Roman" w:hAnsi="Times New Roman" w:eastAsia="宋体"/>
                <w:sz w:val="21"/>
              </w:rPr>
              <w:t>(31)</w:t>
            </w:r>
            <w:commentRangeEnd w:id="30"/>
            <w:r>
              <w:rPr>
                <w:rStyle w:val="CommentReference"/>
              </w:rPr>
              <w:commentReference w:id="30"/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  <w:b w:val="0"/>
        </w:rPr>
        <w:t>式 (31) 中，</w:t>
      </w:r>
      <m:oMath>
        <m:sSubSup>
          <m:e>
            <m:r>
              <m:t>Q</m:t>
            </m:r>
          </m:e>
          <m:sub>
            <m:r>
              <m:t>k</m:t>
            </m:r>
          </m:sub>
          <m:sup>
            <m:r>
              <m:t>min</m:t>
            </m:r>
          </m:sup>
        </m:sSubSup>
        <m:r>
          <m:t>(a)</m:t>
        </m:r>
      </m:oMath>
      <w:r>
        <w:rPr>
          <w:rFonts w:ascii="Times New Roman" w:hAnsi="Times New Roman" w:eastAsia="宋体"/>
          <w:b w:val="0"/>
        </w:rPr>
        <w:t xml:space="preserve"> 为两个在线 Critic 对动作 </w:t>
      </w:r>
      <m:oMath>
        <m:r>
          <m:t>a</m:t>
        </m:r>
      </m:oMath>
      <w:r>
        <w:rPr>
          <w:rFonts w:ascii="Times New Roman" w:hAnsi="Times New Roman" w:eastAsia="宋体"/>
          <w:b w:val="0"/>
        </w:rPr>
        <w:t xml:space="preserve"> 的较小价值预测，</w:t>
      </w:r>
      <m:oMath>
        <m:sSub>
          <m:e>
            <m:r>
              <m:t>g</m:t>
            </m:r>
          </m:e>
          <m:sub>
            <m:r>
              <m:t>π,k</m:t>
            </m:r>
          </m:sub>
        </m:sSub>
        <m:r>
          <m:t>(a)</m:t>
        </m:r>
      </m:oMath>
      <w:r>
        <w:rPr>
          <w:rFonts w:ascii="Times New Roman" w:hAnsi="Times New Roman" w:eastAsia="宋体"/>
          <w:b w:val="0"/>
        </w:rPr>
        <w:t xml:space="preserve"> 为相应的最大熵策略代价，</w:t>
      </w:r>
      <m:oMath>
        <m:sSub>
          <m:e>
            <m:r>
              <m:t>J</m:t>
            </m:r>
          </m:e>
          <m:sub>
            <m:r>
              <m:t>π,k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为当前上下文下的期望策略代价。该目标在训练期兼顾价值改进与策略熵。熵温度依据门控后有效动作数调节，避免因不同状态下可行动作数量变化而产生不一致探索压力。Critic、Actor、熵温度和目标网络的更新共同构成 Algorithm 2。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7"/>
        <w:gridCol w:w="8334"/>
      </w:tblGrid>
      <w:tr>
        <w:trPr>
          <w:cantSplit/>
        </w:trPr>
        <w:tc>
          <w:tcPr>
            <w:tcW w:type="dxa" w:w="8901"/>
            <w:gridSpan w:val="2"/>
            <w:shd w:fill="D9EAF7"/>
            <w:tcMar>
              <w:top w:w="80" w:type="dxa"/>
              <w:bottom w:w="70" w:type="dxa"/>
              <w:start w:w="100" w:type="dxa"/>
              <w:end w:w="100" w:type="dxa"/>
            </w:tcMar>
          </w:tcPr>
          <w:p>
            <w:pPr>
              <w:pStyle w:val="AlgorithmBody"/>
            </w:pPr>
            <w:commentRangeStart w:id="32"/>
            <w:r>
              <w:rPr>
                <w:rFonts w:ascii="Times New Roman" w:hAnsi="Times New Roman" w:eastAsia="宋体"/>
                <w:b/>
                <w:sz w:val="20"/>
              </w:rPr>
              <w:t>Algorithm 2: 尾部风险预算 SAC 训练</w:t>
            </w:r>
            <w:commentRangeEnd w:id="32"/>
            <w:r>
              <w:rPr>
                <w:rStyle w:val="CommentReference"/>
              </w:rPr>
              <w:commentReference w:id="32"/>
            </w:r>
          </w:p>
        </w:tc>
      </w:tr>
      <w:tr>
        <w:trPr>
          <w:cantSplit/>
        </w:trPr>
        <w:tc>
          <w:tcPr>
            <w:tcW w:type="dxa" w:w="8901"/>
            <w:gridSpan w:val="2"/>
            <w:tcMar>
              <w:top w:w="35" w:type="dxa"/>
              <w:bottom w:w="35" w:type="dxa"/>
              <w:start w:w="100" w:type="dxa"/>
              <w:end w:w="10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b/>
                <w:sz w:val="19"/>
              </w:rPr>
              <w:t xml:space="preserve">Input: </w:t>
            </w:r>
            <w:r>
              <w:rPr>
                <w:rFonts w:ascii="Times New Roman" w:hAnsi="Times New Roman" w:eastAsia="宋体"/>
                <w:sz w:val="19"/>
              </w:rPr>
              <w:t>训练场景分布、基准服务特性、物理动作库、SLA 阈值 ε_m 与能耗预算 E_max</w:t>
            </w:r>
          </w:p>
        </w:tc>
      </w:tr>
      <w:tr>
        <w:trPr>
          <w:cantSplit/>
        </w:trPr>
        <w:tc>
          <w:tcPr>
            <w:tcW w:type="dxa" w:w="8901"/>
            <w:gridSpan w:val="2"/>
            <w:tcMar>
              <w:top w:w="35" w:type="dxa"/>
              <w:bottom w:w="35" w:type="dxa"/>
              <w:start w:w="100" w:type="dxa"/>
              <w:end w:w="10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b/>
                <w:sz w:val="19"/>
              </w:rPr>
              <w:t xml:space="preserve">Output: </w:t>
            </w:r>
            <w:r>
              <w:rPr>
                <w:rFonts w:ascii="Times New Roman" w:hAnsi="Times New Roman" w:eastAsia="宋体"/>
                <w:sz w:val="19"/>
              </w:rPr>
              <w:t>训练后的确定性 Actor、GRU 编码器、到达率估计器与完成时间校正器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初始化 Actor、两个在线 Critic 及目标 Critic、经验回放、模型级 SLA 对偶变量和反馈估计器。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在每个 episode 重置环境、EWMA 到达率估计和完成反馈游标；不注入真实负载率、未来请求或隐藏干扰。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在事件 t_k 根据当前可观测状态和历史反馈按式 (18)–(20) 构造上下文。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由第三章式 (5) 构造物理动作集合，并调用 Algorithm 1 得到非空 Risk Gate 动作集合。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5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训练期从式 (24) 的门控策略采样动作，执行环境并记录持续时间、下一状态、违约计数、请求计数、估计能耗和式 (26) 的尾部风险。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6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将转移写入物理时间 n-step 累加器；达到时间窗、最大决策数或 episode 边界时，把聚合转移写入按场景、压力和尾部风险组织的 replay buffer。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7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达到更新条件后采样 replay，按当前 SLA 对偶变量用式 (27) 重构奖励，并用式 (29) 计算 soft target。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8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按式 (30) 更新两个在线 Critic，按式 (31) 更新 Actor 与熵温度，再对目标 Critic 执行 Polyak 软更新。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9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episode 结束并排空到达 cohort 后，计算各 DNN 的违约率并按式 (28) 更新模型级对偶变量。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  <w:tcBorders>
              <w:bottom w:val="single" w:sz="8" w:color="4F6475"/>
            </w:tcBorders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10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  <w:tcBorders>
              <w:bottom w:val="single" w:sz="8" w:color="4F6475"/>
            </w:tcBorders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重复上述过程直至训练结束，保存一个冻结策略检查点用于所有后续评估。</w:t>
            </w:r>
          </w:p>
        </w:tc>
      </w:tr>
    </w:tbl>
    <w:p>
      <w:pPr>
        <w:pStyle w:val="4"/>
        <w:keepNext/>
        <w:ind w:firstLine="0"/>
      </w:pPr>
      <w:r>
        <w:t>4.6 部署路径与计算复杂度</w:t>
      </w:r>
    </w:p>
    <w:p>
      <w:pPr>
        <w:ind w:firstLine="420"/>
        <w:jc w:val="both"/>
      </w:pPr>
      <w:commentRangeStart w:id="15"/>
      <w:r>
        <w:rPr>
          <w:rFonts w:ascii="Times New Roman" w:hAnsi="Times New Roman" w:eastAsia="宋体"/>
        </w:rPr>
        <w:t>部署时移除 Twin Critics、经验回放、梯度更新和 SLA 对偶更新。系统仅保留已揭示到达率 EWMA、完成时间校正器、GRU 历史编码器、Risk Gate 和一次确定性 Actor 前向计算。每个事件先构造物理与风险动作集合，再对所有保留动作进行一次向量化评分并选择概率最大的动作；不执行环境内候选搜索，不读取未来请求、真实负载率、场景标签或隐藏干扰变量。</w:t>
      </w:r>
      <w:commentRangeEnd w:id="15"/>
      <w:r>
        <w:rPr>
          <w:rStyle w:val="CommentReference"/>
        </w:rPr>
        <w:commentReference w:id="15"/>
      </w:r>
    </w:p>
    <w:p>
      <w:pPr>
        <w:ind w:firstLine="420"/>
        <w:jc w:val="both"/>
      </w:pPr>
      <w:commentRangeStart w:id="16"/>
      <w:r>
        <w:rPr>
          <w:rFonts w:ascii="Times New Roman" w:hAnsi="Times New Roman" w:eastAsia="宋体"/>
          <w:b w:val="0"/>
        </w:rPr>
        <w:t xml:space="preserve">设当前物理动作数为 </w:t>
      </w:r>
      <m:oMath>
        <m:d>
          <m:dPr>
            <m:begChr m:val="|"/>
            <m:sepChr m:val=""/>
            <m:endChr m:val="|"/>
          </m:dPr>
          <m:e>
            <m:sSubSup>
              <m:e>
                <m:r>
                  <m:rPr>
                    <m:scr m:val="script"/>
                  </m:rPr>
                  <m:t>A</m:t>
                </m:r>
              </m:e>
              <m:sub>
                <m:r>
                  <m:t>k</m:t>
                </m:r>
              </m:sub>
              <m:sup>
                <m:r>
                  <m:rPr>
                    <m:sty m:val="p"/>
                  </m:rPr>
                  <m:t>phy</m:t>
                </m:r>
              </m:sup>
            </m:sSubSup>
          </m:e>
        </m:d>
      </m:oMath>
      <w:r>
        <w:rPr>
          <w:rFonts w:ascii="Times New Roman" w:hAnsi="Times New Roman" w:eastAsia="宋体"/>
          <w:b w:val="0"/>
        </w:rPr>
        <w:t xml:space="preserve">，历史窗口长度为 </w:t>
      </w:r>
      <m:oMath>
        <m:r>
          <m:t>H</m:t>
        </m:r>
      </m:oMath>
      <w:r>
        <w:rPr>
          <w:rFonts w:ascii="Times New Roman" w:hAnsi="Times New Roman" w:eastAsia="宋体"/>
          <w:b w:val="0"/>
        </w:rPr>
        <w:t xml:space="preserve">，且隐层宽度固定。到达统计和历史编码的开销分别随 DNN 数量与 </w:t>
      </w:r>
      <m:oMath>
        <m:r>
          <m:t>H</m:t>
        </m:r>
      </m:oMath>
      <w:r>
        <w:rPr>
          <w:rFonts w:ascii="Times New Roman" w:hAnsi="Times New Roman" w:eastAsia="宋体"/>
          <w:b w:val="0"/>
        </w:rPr>
        <w:t xml:space="preserve"> 线性增长；完成时间估计、Risk Gate 和动作评分均至多对有限动作库扫描一次，因此单事件决策复杂度关于 </w:t>
      </w:r>
      <m:oMath>
        <m:d>
          <m:dPr>
            <m:begChr m:val="|"/>
            <m:sepChr m:val=""/>
            <m:endChr m:val="|"/>
          </m:dPr>
          <m:e>
            <m:sSubSup>
              <m:e>
                <m:r>
                  <m:rPr>
                    <m:scr m:val="script"/>
                  </m:rPr>
                  <m:t>A</m:t>
                </m:r>
              </m:e>
              <m:sub>
                <m:r>
                  <m:t>k</m:t>
                </m:r>
              </m:sub>
              <m:sup>
                <m:r>
                  <m:rPr>
                    <m:sty m:val="p"/>
                  </m:rPr>
                  <m:t>phy</m:t>
                </m:r>
              </m:sup>
            </m:sSubSup>
          </m:e>
        </m:d>
      </m:oMath>
      <w:r>
        <w:rPr>
          <w:rFonts w:ascii="Times New Roman" w:hAnsi="Times New Roman" w:eastAsia="宋体"/>
          <w:b w:val="0"/>
        </w:rPr>
        <w:t xml:space="preserve"> 为线性量级。动作语义编码和局部状态提取可预计算或向量化，不引入多候选 rollout 或在线组合搜索。</w:t>
      </w:r>
      <w:commentRangeEnd w:id="16"/>
      <w:r>
        <w:rPr>
          <w:rStyle w:val="CommentReference"/>
        </w:rPr>
        <w:commentReference w:id="16"/>
      </w:r>
    </w:p>
    <w:sectPr>
      <w:headerReference r:id="rId5" w:type="default"/>
      <w:footerReference r:id="rId6" w:type="default"/>
      <w:pgSz w:w="11906" w:h="16838"/>
      <w:pgMar w:top="1440" w:right="1803" w:bottom="1440" w:left="1803" w:header="708" w:footer="708" w:gutter="0"/>
      <w:cols w:space="720" w:num="1"/>
      <w:docGrid w:linePitch="360" w:charSpace="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【整体对齐】方法名统一为 RiskBudget-SAC，公式连续编号为 (18)–(31)，并按最终实现重新组织在线决策、训练和部署路径。</w:t>
      </w:r>
    </w:p>
  </w:comment>
  <w:comment w:id="1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【总览重写】原多模块并列叙事收敛为两条主线：在线的 context→Risk Gate→action-semantic Actor，以及训练期的 tail-aware risk-budget SAC。</w:t>
      </w:r>
    </w:p>
  </w:comment>
  <w:comment w:id="2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【创新点收敛】只保留动作语义评分和基于已揭示反馈的风险控制两个核心设计；EWMA、GRU、Twin Critic、replay 和 n-step 作为配套实现。</w:t>
      </w:r>
    </w:p>
  </w:comment>
  <w:comment w:id="3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【状态表征校准】即时状态只包含队列、deadline 裕量、设备占用和并发组成；真实负载、未来请求和隐藏减速不进入输入。</w:t>
      </w:r>
    </w:p>
  </w:comment>
  <w:comment w:id="4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【预测器源码对齐】完成时间校正改为已完成 batch 的 latency-ratio EWMA 均值、方差和不确定性裕量，而不是虚构神经预测器或 oracle。</w:t>
      </w:r>
    </w:p>
  </w:comment>
  <w:comment w:id="5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【历史窗口校准】历史反馈窗口只列已完成 batch 可观测字段，GRU 与即时状态共同形成 Actor/Critic 上下文。</w:t>
      </w:r>
    </w:p>
  </w:comment>
  <w:comment w:id="6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【职责边界重写】Risk Gate 直接引用第三章物理动作集合，只读取当前可观测状态、已揭示到达率和完成反馈校正的时延估计，并保证返回非空子集。</w:t>
      </w:r>
    </w:p>
  </w:comment>
  <w:comment w:id="7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【声明收紧】补充非空 fallback，并明确 Gate 只产生 selective mask，不替代 Actor、不负责对保留动作排序，也不提供 SLA 或安全保证。</w:t>
      </w:r>
    </w:p>
  </w:comment>
  <w:comment w:id="8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【动作表示重写】动作特征与第三章基准服务特性对齐，统一编码 WAIT、DNN、设备、batch 双尺度表示和基准服务属性。</w:t>
      </w:r>
    </w:p>
  </w:comment>
  <w:comment w:id="9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【Actor 结构对齐】按最终源码写为基础评分头加动作条件残差头；省略内部逐元素交互细节，但保留真实的 base+residual 结构。</w:t>
      </w:r>
    </w:p>
  </w:comment>
  <w:comment w:id="10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【Critic 结构对齐】Critic 除全局上下文和动作语义外，显式读取与候选动作对应的队列、slack 和设备局部状态。</w:t>
      </w:r>
    </w:p>
  </w:comment>
  <w:comment w:id="11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【训练目标校准】将经验 p99 从即时奖励中移除，改为按队列、slack 和真实动作持续时间构造连续 tail-risk surrogate。</w:t>
      </w:r>
    </w:p>
  </w:comment>
  <w:comment w:id="12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【奖励重构】replay 保存违约计数、请求数、尾风险和估计能耗分量，并在更新时使用当前 SLA 对偶变量重构 risk-budget reward。</w:t>
      </w:r>
    </w:p>
  </w:comment>
  <w:comment w:id="13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【时间建模补充】由一步固定折扣改为按实际经过时间聚合的 physical-time n-step target，以区分 WAIT 和不同 batch 动作的持续时间。</w:t>
      </w:r>
    </w:p>
  </w:comment>
  <w:comment w:id="14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【公式错误修正】Twin Critic MSE 改为两个平方误差相加；原稿中的相减会使第二个 Critic 的误差被错误奖励。</w:t>
      </w:r>
    </w:p>
  </w:comment>
  <w:comment w:id="15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【新增部署说明】明确部署只保留到达率估计、完成时间校正、GRU、Risk Gate 和一次确定性 Actor 前向；移除 Critics、replay、梯度和 dual update，不使用候选搜索或 oracle 信息。</w:t>
      </w:r>
    </w:p>
  </w:comment>
  <w:comment w:id="16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【新增复杂度说明】给出关于有限动作库线性扫描的单事件复杂度，并说明动作语义和局部状态可向量化。</w:t>
      </w:r>
    </w:p>
  </w:comment>
  <w:comment w:id="17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【公式改写】到达率 EWMA 只统计截至当前已经揭示的请求，并统一事件索引；不读取真实 ρ、model mix 或未来计数。</w:t>
      </w:r>
    </w:p>
  </w:comment>
  <w:comment w:id="18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【新增源码一致公式】用完成 batch 的时延比 EWMA 和不确定性裕量校正基准执行时间。</w:t>
      </w:r>
    </w:p>
  </w:comment>
  <w:comment w:id="19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【公式合并】GRU 历史编码与上下文拼接合并定义，避免把历史编码器单独包装为创新模块。</w:t>
      </w:r>
    </w:p>
  </w:comment>
  <w:comment w:id="20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【Gate 公式重写】统一为非空 selective Risk Gate；输入受信息边界限制，且不重复定义第三章物理动作集合。</w:t>
      </w:r>
    </w:p>
  </w:comment>
  <w:comment w:id="21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【动作语义统一】动作向量与第三章式 (7) 的基准服务属性对齐，并为 WAIT 使用独立标识。</w:t>
      </w:r>
    </w:p>
  </w:comment>
  <w:comment w:id="22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【Actor 公式对齐】采用最终实现的 context encoder、action encoder、base logits 与 action-conditioned residual logits。</w:t>
      </w:r>
    </w:p>
  </w:comment>
  <w:comment w:id="23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【策略约束统一】MaskedSoftmax 仅在 Risk Gate 保留的动作集合上归一化；训练采样、评估/部署单次 argmax。</w:t>
      </w:r>
    </w:p>
  </w:comment>
  <w:comment w:id="24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【Critic 公式完善】Twin Critics 同时读取全局上下文、动作语义和动作相关局部状态，并在 target/Actor 更新中取较小值。</w:t>
      </w:r>
    </w:p>
  </w:comment>
  <w:comment w:id="25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【新增公式】按最终代码定义队列/slack 风险水平及动作持续期间的梯形积分近似，不把经验 p99 直接作为 loss。</w:t>
      </w:r>
    </w:p>
  </w:comment>
  <w:comment w:id="26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【奖励公式重写】统一组合 tail-risk、模型级 SLA 偏差和 profile-estimated energy budget hinge；历史转移可按当前对偶变量重构奖励。</w:t>
      </w:r>
    </w:p>
  </w:comment>
  <w:comment w:id="27" w:author="Codex" w:initials="CX" w:date="2026-07-29T10:01:23Z">
    <w:p>
      <w:pPr>
        <w:pStyle w:val="CommentText"/>
      </w:pPr>
      <w:r>
        <w:rPr>
          <w:rStyle w:val="CommentReference"/>
        </w:rPr>
        <w:annotationRef/>
      </w:r>
      <w:r>
        <w:t>【对偶更新限定】模型级 SLA 权重按 episode 违约率软更新；用于目标适应，不构成硬 SLA 保证。</w:t>
      </w:r>
    </w:p>
  </w:comment>
  <w:comment w:id="28" w:author="Codex" w:initials="CX" w:date="2026-07-29T10:01:24Z">
    <w:p>
      <w:pPr>
        <w:pStyle w:val="CommentText"/>
      </w:pPr>
      <w:r>
        <w:rPr>
          <w:rStyle w:val="CommentReference"/>
        </w:rPr>
        <w:annotationRef/>
      </w:r>
      <w:r>
        <w:t>【Bellman target 替换】由一步 target 改为按物理时间折扣的 N-step soft target，N 同时受时间窗、最大步数和 episode 边界限制。</w:t>
      </w:r>
    </w:p>
  </w:comment>
  <w:comment w:id="29" w:author="Codex" w:initials="CX" w:date="2026-07-29T10:01:24Z">
    <w:p>
      <w:pPr>
        <w:pStyle w:val="CommentText"/>
      </w:pPr>
      <w:r>
        <w:rPr>
          <w:rStyle w:val="CommentReference"/>
        </w:rPr>
        <w:annotationRef/>
      </w:r>
      <w:r>
        <w:t>【关键修正】Twin Critic 回归损失使用两个 MSE 之和；目标网络不反向传播，回放按场景、压力和尾风险平衡采样。</w:t>
      </w:r>
    </w:p>
  </w:comment>
  <w:comment w:id="30" w:author="Codex" w:initials="CX" w:date="2026-07-29T10:01:24Z">
    <w:p>
      <w:pPr>
        <w:pStyle w:val="CommentText"/>
      </w:pPr>
      <w:r>
        <w:rPr>
          <w:rStyle w:val="CommentReference"/>
        </w:rPr>
        <w:annotationRef/>
      </w:r>
      <w:r>
        <w:t>【Actor 目标完善】补全门控动作集合上的离散 SAC 最大熵目标，并使用两个在线 Critic 的较小预测值。</w:t>
      </w:r>
    </w:p>
  </w:comment>
  <w:comment w:id="31" w:author="Codex" w:initials="CX" w:date="2026-07-29T10:01:24Z">
    <w:p>
      <w:pPr>
        <w:pStyle w:val="CommentText"/>
      </w:pPr>
      <w:r>
        <w:rPr>
          <w:rStyle w:val="CommentReference"/>
        </w:rPr>
        <w:annotationRef/>
      </w:r>
      <w:r>
        <w:t>【算法占位补全】用完整 Risk Gate 伪代码替换原占位，明确物理 mask、触发条件、压力/紧迫筛选、非空 fallback 和 WAIT 处理；算法只返回动作集合。</w:t>
      </w:r>
    </w:p>
  </w:comment>
  <w:comment w:id="32" w:author="Codex" w:initials="CX" w:date="2026-07-29T10:01:24Z">
    <w:p>
      <w:pPr>
        <w:pStyle w:val="CommentText"/>
      </w:pPr>
      <w:r>
        <w:rPr>
          <w:rStyle w:val="CommentReference"/>
        </w:rPr>
        <w:annotationRef/>
      </w:r>
      <w:r>
        <w:t>【算法占位补全】用完整训练伪代码替换原占位，包含分量化 replay、风险奖励重构、physical-time n-step、Twin Critic/Actor/熵温度更新及模型级 SLA 对偶更新。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FA4BFE">
    <w:pPr>
      <w:pStyle w:val="24"/>
      <w:jc w:val="right"/>
    </w:pPr>
    <w:r>
      <w:rPr>
        <w:rFonts w:ascii="Calibri" w:hAnsi="Calibri" w:eastAsia="宋体" w:cs="Calibri"/>
        <w:color w:val="6B7280"/>
        <w:sz w:val="18"/>
      </w:rPr>
      <w:fldChar w:fldCharType="begin"/>
    </w:r>
    <w:r>
      <w:rPr>
        <w:rFonts w:ascii="Calibri" w:hAnsi="Calibri" w:eastAsia="宋体" w:cs="Calibri"/>
        <w:color w:val="6B7280"/>
        <w:sz w:val="18"/>
      </w:rPr>
      <w:instrText xml:space="preserve"> PAGE </w:instrText>
    </w:r>
    <w:r>
      <w:rPr>
        <w:rFonts w:ascii="Calibri" w:hAnsi="Calibri" w:eastAsia="宋体" w:cs="Calibri"/>
        <w:color w:val="6B7280"/>
        <w:sz w:val="18"/>
      </w:rPr>
      <w:fldChar w:fldCharType="separate"/>
    </w:r>
    <w:r>
      <w:rPr>
        <w:rFonts w:ascii="Calibri" w:hAnsi="Calibri" w:eastAsia="宋体" w:cs="Calibri"/>
        <w:color w:val="6B7280"/>
        <w:sz w:val="18"/>
      </w:rPr>
      <w:t>1</w:t>
    </w:r>
    <w:r>
      <w:rPr>
        <w:rFonts w:ascii="Calibri" w:hAnsi="Calibri" w:eastAsia="宋体" w:cs="Calibri"/>
        <w:color w:val="6B72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14C478">
    <w:pPr>
      <w:pStyle w:val="25"/>
      <w:ind w:firstLine="0"/>
      <w:jc w:val="center"/>
    </w:pPr>
    <w:r>
      <w:rPr>
        <w:rFonts w:ascii="Times New Roman" w:hAnsi="Times New Roman" w:eastAsia="宋体"/>
        <w:color w:val="7F7F7F"/>
        <w:sz w:val="15"/>
      </w:rPr>
      <w:t>中文论文初稿 · Method v9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27BEF"/>
    <w:rsid w:val="00FC693F"/>
    <w:rsid w:val="04012802"/>
    <w:rsid w:val="05972365"/>
    <w:rsid w:val="07DA17B4"/>
    <w:rsid w:val="08D962ED"/>
    <w:rsid w:val="08E37A2F"/>
    <w:rsid w:val="0E510C97"/>
    <w:rsid w:val="0E533CE4"/>
    <w:rsid w:val="0E62280C"/>
    <w:rsid w:val="114C66F9"/>
    <w:rsid w:val="11A51171"/>
    <w:rsid w:val="153656F6"/>
    <w:rsid w:val="195F7277"/>
    <w:rsid w:val="1E002D45"/>
    <w:rsid w:val="1E4F15D7"/>
    <w:rsid w:val="205C7725"/>
    <w:rsid w:val="223C67F4"/>
    <w:rsid w:val="2523045B"/>
    <w:rsid w:val="25900EC9"/>
    <w:rsid w:val="26FE73E2"/>
    <w:rsid w:val="2AB4113F"/>
    <w:rsid w:val="2C6170A5"/>
    <w:rsid w:val="2CDC30FB"/>
    <w:rsid w:val="2D0D13E0"/>
    <w:rsid w:val="30664F2C"/>
    <w:rsid w:val="3B483C92"/>
    <w:rsid w:val="3BDB4052"/>
    <w:rsid w:val="3C1165F2"/>
    <w:rsid w:val="3EB50143"/>
    <w:rsid w:val="3EBD1070"/>
    <w:rsid w:val="481B05F8"/>
    <w:rsid w:val="4961028C"/>
    <w:rsid w:val="4AAF1765"/>
    <w:rsid w:val="4B422F21"/>
    <w:rsid w:val="4DD54DA5"/>
    <w:rsid w:val="4E9B3DFF"/>
    <w:rsid w:val="542660E9"/>
    <w:rsid w:val="54B12F7D"/>
    <w:rsid w:val="5D323FC2"/>
    <w:rsid w:val="671F5543"/>
    <w:rsid w:val="68DE68A8"/>
    <w:rsid w:val="6A8108A4"/>
    <w:rsid w:val="6C87361A"/>
    <w:rsid w:val="6F9C4EC1"/>
    <w:rsid w:val="746D7166"/>
    <w:rsid w:val="77CA3CBD"/>
    <w:rsid w:val="7820118F"/>
    <w:rsid w:val="792C4DA7"/>
    <w:rsid w:val="7D3A7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420"/>
      <w:jc w:val="both"/>
    </w:pPr>
    <w:rPr>
      <w:rFonts w:ascii="Times New Roman" w:hAnsi="Times New Roman" w:eastAsia="宋体" w:cs="Calibr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0" w:after="80"/>
      <w:ind w:firstLine="0"/>
      <w:outlineLvl w:val="0"/>
    </w:pPr>
    <w:rPr>
      <w:rFonts w:asciiTheme="majorHAnsi" w:hAnsiTheme="majorHAnsi" w:eastAsiaTheme="majorEastAsia" w:cstheme="majorBidi" w:ascii="Arial" w:hAnsi="Arial" w:eastAsia="黑体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pageBreakBefore w:val="0"/>
      <w:spacing w:before="160" w:after="80"/>
      <w:ind w:firstLine="0"/>
      <w:outlineLvl w:val="1"/>
    </w:pPr>
    <w:rPr>
      <w:rFonts w:asciiTheme="majorHAnsi" w:hAnsiTheme="majorHAnsi" w:eastAsiaTheme="majorEastAsia" w:cstheme="majorBidi" w:ascii="Arial" w:hAnsi="Arial" w:eastAsia="黑体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60" w:after="80"/>
      <w:ind w:firstLine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before="30" w:after="30" w:line="360" w:lineRule="auto"/>
      <w:contextualSpacing/>
      <w:jc w:val="both"/>
    </w:pPr>
    <w:rPr>
      <w:rFonts w:ascii="Times New Roman" w:hAnsi="Times New Roman" w:eastAsia="宋体"/>
      <w:sz w:val="21"/>
    </w:r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Editorial Note"/>
    <w:qFormat/>
    <w:uiPriority w:val="0"/>
    <w:pPr>
      <w:spacing w:before="60" w:after="120" w:line="276" w:lineRule="auto"/>
      <w:ind w:left="198" w:right="198"/>
    </w:pPr>
    <w:rPr>
      <w:rFonts w:ascii="Times New Roman" w:hAnsi="Times New Roman" w:eastAsia="宋体" w:cs="Times New Roman"/>
      <w:color w:val="5A5A5A"/>
      <w:sz w:val="18"/>
    </w:rPr>
  </w:style>
  <w:style w:type="paragraph" w:customStyle="1" w:styleId="AlgorithmBody">
    <w:name w:val="Algorithm Body"/>
    <w:pPr>
      <w:spacing w:line="276" w:lineRule="auto" w:before="0" w:after="0"/>
      <w:ind w:firstLine="0"/>
    </w:pPr>
    <w:rPr>
      <w:rFonts w:ascii="Times New Roman" w:hAnsi="Times New Roman" w:eastAsia="宋体"/>
      <w:sz w:val="19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4222</Words>
  <Characters>5073</Characters>
  <Lines>0</Lines>
  <Paragraphs>0</Paragraphs>
  <TotalTime>56</TotalTime>
  <ScaleCrop>false</ScaleCrop>
  <LinksUpToDate>false</LinksUpToDate>
  <CharactersWithSpaces>5433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陈亮</dc:creator>
  <dc:description>generated by python-docx</dc:description>
  <cp:keywords>system model, online multi-DNN inference, batching, SLA, tail latency</cp:keywords>
  <cp:lastModifiedBy>.</cp:lastModifiedBy>
  <dcterms:modified xsi:type="dcterms:W3CDTF">2026-07-28T14:02:28Z</dcterms:modified>
  <dc:subject>多 DNN 边缘推理的风险预算在线调度方法</dc:subject>
  <dc:title>IV. RiskBudget Methodology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eyJoZGlkIjoiNzI3MjRmMzdhYzgzOWJhMzBiY2VlNjM5ZjIwMTQ4ZWUiLCJ1c2VySWQiOiI0OTU0MzUwNTEifQ==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7E11E7B19C9F4F069189DB281AD15981_12</vt:lpwstr>
  </property>
</Properties>
</file>