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r>
        <w:t>5 实验评估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本章围绕五个研究问题展开：RQ1，RiskBudget-SAC 在平稳负载下能否降低 aggregate SLA 违约率与 p99，并满足估计能耗预算；RQ2，面对 random-switch 到达变化时，方法能否保持动态适应；RQ3，aggregate 改善是否以牺牲某一 DNN 为代价；RQ4，Historical Feedback GRU 与 Causal Risk Gate 如何共同影响结果；RQ5，Gate 的在线估计与激活行为是否符合设计，部署开销是否可接受。所有主结果均来自同一个冻结检查点，结论严格限定在当前评估协议。</w:t>
      </w:r>
    </w:p>
    <w:p>
      <w:pPr>
        <w:pStyle w:val="4"/>
        <w:keepNext/>
        <w:ind w:firstLine="0"/>
      </w:pPr>
      <w:r>
        <w:t>5.1 实验设置</w:t>
      </w:r>
    </w:p>
    <w:p>
      <w:pPr>
        <w:pStyle w:val="5"/>
        <w:keepNext/>
        <w:ind w:firstLine="0"/>
      </w:pPr>
      <w:r>
        <w:t>5.1.1 硬件 Profile 与 DNN 工作负载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系统包含 RTX 3060 Laptop GPU 与 Apple M3 两类执行设备，分别通过 CUDA 和 MPS 运行 MobileNetV3-Small、EfficientNet-B0 与 ResNet50。对每个 DNN–设备–batch 组合采集基准执行时延、吞吐和单位请求执行能耗，并将其作为第三章式 (7) 的基准服务特性。允许 batch size 为 {1,2,4,8,16,32}。M3 的 18 个组合均具有有效 profile；RTX 3060 有 17 个有效组合，ResNet50 的 batch=1 测量不稳定，环境按既定 padding/bucketing 规则映射到最小有效 batch=2。该替代规则对所有方法一致。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5.1  硬件与 Profile 概要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381"/>
        <w:gridCol w:w="6520"/>
      </w:tblGrid>
      <w:tr>
        <w:trPr>
          <w:tblHeader w:val="true"/>
        </w:trPr>
        <w:tc>
          <w:tcPr>
            <w:tcW w:type="dxa" w:w="4513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4513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执行设备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RTX 3060 Laptop GPU (CUDA)；Apple M3 (MPS)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DNN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MobileNetV3-Small；EfficientNet-B0；ResNet50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Batch size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1, 2, 4, 8, 16, 32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设备并发槽位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RTX 3060: 2；M3: 1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Profile 指标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执行时延、吞吐、单位请求执行能耗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有效组合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RTX 3060: 17/18；M3: 18/18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运行时共置干扰采用有界随机减速代理，并随 DNN 组合和 batch 变化。独立硬件测量已经确认共置干扰具有明显方向性，但主实验没有把完整方向查找表直接写入训练环境，因此本文将其定位为“由真实 profile 驱动、含随机运行偏移的仿真”，而不是完全由硬件干扰表校准的数字孪生。</w:t>
      </w:r>
    </w:p>
    <w:p>
      <w:pPr>
        <w:pStyle w:val="5"/>
        <w:keepNext/>
        <w:ind w:firstLine="0"/>
      </w:pPr>
      <w:r>
        <w:t>5.1.2 事件驱动环境与负载场景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静态负载覆盖 ρ∈{0.40,0.50,0.60,0.70,0.75,0.80,0.85,0.90}。动态训练与测试包含 random-switch 和 model-mix-drift；主文重点报告 random-switch，其中系统到达强度在 0.25 s 片段间切换，平均目标负载为 ρ=0.70。调度器不接收 ρ 或场景名称，只能观察队列、deadline、设备状态、已经发生的到达与已完成 batch 反馈。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deployment-aware 评价在 edge-side 完成时延上叠加动作无关上行：上行速率服从 U(5,10) MB/s；无文件级输入时，请求数据大小服从 U(50,100) KB。所有方法在相同条件、相同评估种子下共享相同输入大小与速率样本。由于上行与调度动作无关，它不改变策略训练和动作排序，但会消耗请求 SLA 裕量。结果回传因分类输出很小而忽略。</w:t>
      </w:r>
    </w:p>
    <w:p>
      <w:pPr>
        <w:pStyle w:val="5"/>
        <w:keepNext/>
        <w:ind w:firstLine="0"/>
      </w:pPr>
      <w:r>
        <w:t>5.1.3 训练与评估协议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RiskBudget-SAC 从头训练 400 episodes，40% episode 采样八档静态负载，60% episode 采样动态场景；全程使用一个 Actor、一个 Twin Critic 组和一个 replay buffer，不切换检查点。训练随机种子为 0。主评估冻结同一个 UnifiedRiskBudget.pt，在每个条件下使用 5 个配对环境评估种子，运行 60 s，并将前 1 s 作为 warm-up。误差条为 5 个环境评估种子上的双侧 95% t 置信区间，不能解释为多次独立训练的方差。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5.2  训练与评估配置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268"/>
        <w:gridCol w:w="6633"/>
      </w:tblGrid>
      <w:tr>
        <w:trPr>
          <w:tblHeader w:val="true"/>
        </w:trPr>
        <w:tc>
          <w:tcPr>
            <w:tcW w:type="dxa" w:w="4513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4513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训练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400 episodes；seed 0；40% 静态 + 60% 动态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动作空间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37 个离散动作：WAIT 与 DNN–device–batch 组合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网络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History-GRU 64；Actor hidden 192；action embedding 96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优化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Actor/Critic learning rate 3e-4；自动熵温度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Replay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容量 90,000；batch 256；场景/压力/tail 平衡采样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物理时间 n-step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窗口 0.05 s；最多 64 个决策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SLA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每 DNN 独立对偶；目标违约比例 0.02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能耗预算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0.109587 J/request (profile-estimated)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主评估</w:t>
            </w:r>
          </w:p>
        </w:tc>
        <w:tc>
          <w:tcPr>
            <w:tcW w:type="dxa" w:w="6633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 s；1 s warm-up；5 个 paired evaluation seeds</w:t>
            </w:r>
          </w:p>
        </w:tc>
      </w:tr>
    </w:tbl>
    <w:p>
      <w:pPr>
        <w:pStyle w:val="5"/>
        <w:keepNext/>
        <w:ind w:firstLine="0"/>
      </w:pPr>
      <w:r>
        <w:t>5.1.4 Baselines、指标与公平性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比较方法包括学习式 Coinf-Adapted，以及 TF-Serving-style、Triton-Dynamic-Batcher、Ebird-style、EDF-StaticBatch 和 FCFS。所有方法共享相同请求流、模型级 deadline、设备容量、profile、基础物理动作 mask、运行时扰动和上行样本。启发式方法不读取未来到达或隐藏干扰。Coinf-Adapted 保留 Coinf 的性能预测、紧急任务识别与 A2C 调度思想，并为当前双设备动作空间增加显式设备选择；因此它是面向当前环境的适配版本，而不是原论文二进制实现。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5.3  Baseline 定义与信息边界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871"/>
        <w:gridCol w:w="4706"/>
        <w:gridCol w:w="2324"/>
      </w:tblGrid>
      <w:tr>
        <w:trPr>
          <w:tblHeader w:val="true"/>
        </w:trPr>
        <w:tc>
          <w:tcPr>
            <w:tcW w:type="dxa" w:w="3009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3009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核心规则或学习机制</w:t>
            </w:r>
          </w:p>
        </w:tc>
        <w:tc>
          <w:tcPr>
            <w:tcW w:type="dxa" w:w="3009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在线反馈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Coinf-Adapted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profile + 紧急度识别 + A2C 组批/路由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完成时延分位修正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TF-Serving-style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固定 batch cap=32 + 最大等待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队列/设备状态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Triton-Dynamic-Batcher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preferred batch {16,32} + queue delay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队列/设备状态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Ebird-style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多 batch 并发组合 {1,1,2,4,8,16}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队列/设备状态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EDF-StaticBatch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最早 deadline + 固定 cap + profile 路由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队列/设备状态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FCFS</w:t>
            </w:r>
          </w:p>
        </w:tc>
        <w:tc>
          <w:tcPr>
            <w:tcW w:type="dxa" w:w="4706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全局最早到达 + 固定 cap + 首个可用设备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队列/设备状态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主要指标为 deployment-aware 请求级 SLA 违约率、deployment-aware p99 完成时延、吞吐量和 profile-estimated 单位请求执行能耗。静态主表对八档 ρ 等权宏平均；动态表报告 random-switch 结果。本文的主要目标是控制 SLA 与 p99，同时检查能耗是否低于预算，而不是声称能耗全局最小。</w:t>
      </w:r>
    </w:p>
    <w:p>
      <w:pPr>
        <w:pStyle w:val="4"/>
        <w:keepNext/>
        <w:ind w:firstLine="0"/>
      </w:pPr>
      <w:r>
        <w:t>5.2 总体性能</w:t>
      </w:r>
    </w:p>
    <w:p>
      <w:pPr>
        <w:pStyle w:val="5"/>
        <w:keepNext/>
        <w:ind w:firstLine="0"/>
      </w:pPr>
      <w:r>
        <w:t>5.2.1 平稳负载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图 5.1 展示八档静态负载下的三项主要指标。随着 ρ 升高，各方法均面临更强队列压力，但不同调度方式在 tail latency 上迅速分化。表 5.4 给出八档条件等权宏平均。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2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static_load_thre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图 5.1  八档静态负载下各方法的 deployment-aware SLA 违约率、p99 时延与 profile-estimated 单位请求能耗。点为 5 个 paired evaluation seeds 的均值，误差条为双侧 95% t 置信区间。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5.4  静态八档负载的宏平均结果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061"/>
        <w:gridCol w:w="1928"/>
        <w:gridCol w:w="1701"/>
        <w:gridCol w:w="1984"/>
      </w:tblGrid>
      <w:tr>
        <w:trPr>
          <w:tblHeader w:val="true"/>
        </w:trPr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SLA 违约率 (%)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p99 (ms)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能耗 (J/request)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RiskBudget-SAC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33.75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92.68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0.1019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Coinf-Adapted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42.89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354.70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0.1001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TF-Serving-style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41.58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139.18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0.1028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Triton-Dynamic-Batcher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56.22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151.75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0.0974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Ebird-style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42.84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234.94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0.1053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EDF-StaticBatch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49.70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452.80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0.1017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FCFS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42.92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445.17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0.1068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RiskBudget-SAC 的宏平均违约率为 33.75%，最强违约率基线 TF-Serving-style 为 41.58%，相对降低 18.8%。其 p99 为 92.68 ms，较最强 p99 基线的 139.18 ms 降低 33.4%。单位请求能耗为 0.1019 J，低于 0.109587 J 的预设预算，但并非最低：Triton-Dynamic-Batcher 为 0.0974 J。结果说明该方法以有限的估计能耗开销换取更明显的 SLA 与 tail latency 改善，而不是获得所有指标的绝对最优。</w:t>
      </w:r>
    </w:p>
    <w:p>
      <w:pPr>
        <w:pStyle w:val="5"/>
        <w:keepNext/>
        <w:ind w:firstLine="0"/>
      </w:pPr>
      <w:r>
        <w:t>5.2.2 Random-Switch 动态负载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random-switch 在短片段之间改变请求强度，要求策略根据已经发生的到达和完成反馈调整调度。图 5.2 与表 5.5 给出 60 s 结果。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07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random_switch_thre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图 5.2  Random-switch 场景下各方法的 deployment-aware SLA 违约率、p99 时延与 profile-estimated 单位请求能耗；误差条口径同图 5.1。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5.5  Random-switch 场景结果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061"/>
        <w:gridCol w:w="1928"/>
        <w:gridCol w:w="1701"/>
        <w:gridCol w:w="1984"/>
      </w:tblGrid>
      <w:tr>
        <w:trPr>
          <w:tblHeader w:val="true"/>
        </w:trPr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SLA 违约率 (%)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p99 (ms)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能耗 (J/request)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RiskBudget-SAC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31.32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95.84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0.0987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Coinf-Adapted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34.80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184.54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0.0972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TF-Serving-style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36.66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139.44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0.0997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Triton-Dynamic-Batcher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52.68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157.10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0.0940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Ebird-style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36.56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139.91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0.1021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EDF-StaticBatch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45.39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114.36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0.0979</w:t>
            </w:r>
          </w:p>
        </w:tc>
      </w:tr>
      <w:tr>
        <w:trPr>
          <w:cantSplit/>
        </w:trPr>
        <w:tc>
          <w:tcPr>
            <w:tcW w:type="dxa" w:w="306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FCFS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38.38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105.01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0.1034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RiskBudget-SAC 的违约率为 31.32%，较最强违约率基线 Coinf-Adapted 的 34.80% 相对降低 10.0%；p99 为 95.84 ms，较最强 p99 基线 FCFS 的 105.01 ms 降低 8.7%。与学习式 Coinf-Adapted 相比，其 p99 从 184.54 ms 降至 95.84 ms。能耗 0.0987 J 仍低于预算，但高于 Triton 的 0.0940 J。动态结果的置信区间较宽，说明不同切换轨迹对 tail 指标影响明显，因此本节只主张平均改善，不声称每条轨迹均占优。</w:t>
      </w:r>
    </w:p>
    <w:p>
      <w:pPr>
        <w:pStyle w:val="4"/>
        <w:keepNext/>
        <w:ind w:firstLine="0"/>
      </w:pPr>
      <w:r>
        <w:t>5.3 分 DNN 性能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aggregate 指标可能掩盖某个模型被长期牺牲。图 5.3 分别报告 MobileNetV3-Small、EfficientNet-B0 与 ResNet50 在静态和 random-switch 条件下的违约率与 p99。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02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er_dnn_60s_canon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图 5.3  静态与 random-switch 场景的分 DNN SLA 违约率和 p99 时延，均基于 60 s、5 个 paired evaluation seeds。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5.6  RiskBudget-SAC 的分 DNN 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41"/>
        <w:gridCol w:w="2835"/>
        <w:gridCol w:w="2041"/>
        <w:gridCol w:w="1928"/>
      </w:tblGrid>
      <w:tr>
        <w:trPr>
          <w:tblHeader w:val="true"/>
        </w:trPr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DNN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SLA 违约率 (%)</w:t>
            </w:r>
          </w:p>
        </w:tc>
        <w:tc>
          <w:tcPr>
            <w:tcW w:type="dxa" w:w="2256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p99 (ms)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静态宏平均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MobileNetV3-Small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27.64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55.20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静态宏平均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EfficientNet-B0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36.99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70.05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静态宏平均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ResNet50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36.67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108.98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Random-switch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MobileNetV3-Small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24.68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56.99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Random-switch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EfficientNet-B0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34.14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75.41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Random-switch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ResNet50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35.13</w:t>
            </w:r>
          </w:p>
        </w:tc>
        <w:tc>
          <w:tcPr>
            <w:tcW w:type="dxa" w:w="192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126.79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三种 DNN 均得到持续服务，没有出现某一模型完全饥饿。MobileNetV3-Small 的违约率和 p99 最低，ResNet50 的执行开销较大，因而 p99 最高。需要谨慎解释的是，RiskBudget-SAC 并未在每个模型的每项指标上都最好：random-switch 下 ResNet50 的 p99 高于 FCFS，并略高于 EDF-StaticBatch；其优势更多体现在较低的 ResNet50 违约率和整体风险平衡。因此，aggregate 改善不是简单忽略某一 DNN，但模型间公平性仍有进一步优化空间。</w:t>
      </w:r>
    </w:p>
    <w:p>
      <w:pPr>
        <w:pStyle w:val="4"/>
        <w:keepNext/>
        <w:ind w:firstLine="0"/>
      </w:pPr>
      <w:r>
        <w:t>5.4 Gate 在动态负载下的行为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为验证 Gate 是否按设计响应已经揭示的负载变化，我们记录 60 s random-switch 轨迹中的真实到达率（仅用于离线诊断）、EWMA 估计、队列长度与 Gate 激活率。图 5.4 汇总 5 个评估种子。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24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gate_trigger_random_switch_60s_3panel_5se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图 5.4  Random-switch 下的 Gate 机制诊断：(a) 已揭示到达的 EWMA 估计；(b) 队列长度；(c) Gate 激活率。真实到达率只用于离线对照，不输入调度器。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到达率估计与离线真实序列的 Pearson 相关系数为 0.839，MAE 为 25.3 requests/s；队列长度与 Gate 激活率的相关系数为 0.929。低队列四分位区间的平均激活率为 0.200，高队列四分位区间增至 0.355。这些结果说明 Gate 的收缩频率会随可观测压力上升，而不是固定屏蔽动作。相关性不能证明 Gate 给出确定性安全保证，也不能证明每次筛选都正确，但它提供了与设计一致的内部行为证据。</w:t>
      </w:r>
    </w:p>
    <w:p>
      <w:pPr>
        <w:pStyle w:val="4"/>
        <w:keepNext/>
        <w:ind w:firstLine="0"/>
      </w:pPr>
      <w:r>
        <w:t>5.5 消融实验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我们在相同 60 s 主协议下比较完整方法、去掉 Historical Feedback GRU、去掉 Causal Gate、同时去掉二者以及 Plain SAC。图 5.5 使用 publication-safe 口径展示联合消融；表 5.7 给出可直接复算的宏平均。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77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joint_ablation_publication_sa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图 5.5  Historical Feedback GRU 与 Causal Gate 的联合消融。图中仅比较同一主协议下的完整方法及对应去除版本。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5.7  核心模块消融结果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134"/>
        <w:gridCol w:w="2324"/>
        <w:gridCol w:w="1701"/>
        <w:gridCol w:w="1701"/>
        <w:gridCol w:w="1984"/>
      </w:tblGrid>
      <w:tr>
        <w:trPr>
          <w:tblHeader w:val="true"/>
        </w:trPr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场景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违约率 (%)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p99 (ms)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能耗 (J/request)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静态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Full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33.75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92.68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0.1019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静态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History-GRU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34.72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96.34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0.1158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静态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Causal Gate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32.10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9316.69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0.1221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静态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Both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47.66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24181.93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0.1064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静态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Plain SAC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25.07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27466.02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0.0988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Full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31.32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95.84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0.0987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History-GRU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31.70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94.62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0.1110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Causal Gate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28.54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170.61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0.1163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w/o Both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61.28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25754.87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0.1029</w:t>
            </w: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</w:t>
            </w:r>
          </w:p>
        </w:tc>
        <w:tc>
          <w:tcPr>
            <w:tcW w:type="dxa" w:w="232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Plain SAC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34.25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50725.13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0.1068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去掉 History-GRU 后，静态违约率、p99 与能耗均变差；动态 p99 则从 95.84 ms 小幅改善到 94.62 ms，但能耗上升至 0.1110 J，且违约率略升。因此，当前数据不支持“GRU 单独改善每一项动态指标”的强因果结论。去掉 Gate 时，违约率数字反而略低，但静态 p99 上升到 9.32 s、动态 p99 上升到 170.61 ms，能耗也超过预算，说明只看 aggregate 违约率会掩盖严重 backlog 与长尾。二者同时去除后，违约率和 p99 均发生显著退化，表明历史表示与风险边界存在协同作用。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Plain SAC 在静态场景出现较低违约率却伴随 27.47 s 的 p99，进一步说明稀疏违约统计不足以单独评价排队系统。现有主协议消融完整覆盖 GRU、Gate 与二者联合去除；SLA dual 和 tail-risk surrogate 的证据主要来自旧协议消融与 tail-risk weight 敏感性，尚缺在当前 60 s 主协议下逐项独立重训。因此，本文把这些机制作为完整训练目标的组成部分，不把现有结果扩大为每个子项的独立因果证明。</w:t>
      </w:r>
    </w:p>
    <w:p>
      <w:pPr>
        <w:pStyle w:val="4"/>
        <w:keepNext/>
        <w:ind w:firstLine="0"/>
      </w:pPr>
      <w:r>
        <w:t>5.6 开销、敏感性与局限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5.8  调度器开销与模型规模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268"/>
        <w:gridCol w:w="1814"/>
        <w:gridCol w:w="1531"/>
        <w:gridCol w:w="1701"/>
        <w:gridCol w:w="1701"/>
      </w:tblGrid>
      <w:tr>
        <w:trPr>
          <w:tblHeader w:val="true"/>
        </w:trPr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CPU 平均决策 (ms)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CPU p99 (ms)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部署参数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Checkpoint (MiB)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RiskBudget-SAC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4.97</w:t>
            </w:r>
          </w:p>
        </w:tc>
        <w:tc>
          <w:tcPr>
            <w:tcW w:type="dxa" w:w="153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8.10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198,374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6.37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Coinf-Adapted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1.86</w:t>
            </w:r>
          </w:p>
        </w:tc>
        <w:tc>
          <w:tcPr>
            <w:tcW w:type="dxa" w:w="153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3.56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40,230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0.48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TF-Serving-style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0.35</w:t>
            </w:r>
          </w:p>
        </w:tc>
        <w:tc>
          <w:tcPr>
            <w:tcW w:type="dxa" w:w="153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0.95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Triton-Dynamic-Batcher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0.52</w:t>
            </w:r>
          </w:p>
        </w:tc>
        <w:tc>
          <w:tcPr>
            <w:tcW w:type="dxa" w:w="153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1.62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Ebird-style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0.39</w:t>
            </w:r>
          </w:p>
        </w:tc>
        <w:tc>
          <w:tcPr>
            <w:tcW w:type="dxa" w:w="153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0.95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RiskBudget-SAC 的 CPU 单次决策平均耗时为 4.97 ms，p99 为 8.10 ms，明显高于启发式和 Coinf-Adapted。其部署张量约 0.758 MiB，完整 checkpoint 为 6.37 MiB，训练墙钟时间约 3640 s。当前主结果的请求时延未把调度器推理时间重新计入，因而该开销相对于约 35.7–47.8 ms 的模型级 deadline 并不可以忽略；后续真实系统实现需要通过批量动作编码、编译和异步决策进一步压缩。</w:t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sz w:val="19"/>
        </w:rPr>
        <w:t>表 5.9  RiskBudget-SAC 的敏感性结果（ρ=0.7，独立补充协议）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41"/>
        <w:gridCol w:w="1247"/>
        <w:gridCol w:w="1814"/>
        <w:gridCol w:w="1701"/>
        <w:gridCol w:w="2098"/>
      </w:tblGrid>
      <w:tr>
        <w:trPr>
          <w:tblHeader w:val="true"/>
        </w:trPr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因素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取值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违约率 (%)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p99 (ms)</w:t>
            </w:r>
          </w:p>
        </w:tc>
        <w:tc>
          <w:tcPr>
            <w:tcW w:type="dxa" w:w="1805"/>
            <w:shd w:fill="D9EAF7"/>
            <w:tcMar>
              <w:top w:w="55" w:type="dxa"/>
              <w:bottom w:w="5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能耗 (J/request)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Deadline scale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0.8x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10.95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53.09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0.1055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Deadline scale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1.0x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1.67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46.01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0.1006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Deadline scale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1.2x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0.25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47.59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0.0967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Interference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30.68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0.0891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Interference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34.34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0.0933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Interference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1.67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46.01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0.1006</w:t>
            </w:r>
          </w:p>
        </w:tc>
      </w:tr>
      <w:tr>
        <w:trPr>
          <w:cantSplit/>
        </w:trPr>
        <w:tc>
          <w:tcPr>
            <w:tcW w:type="dxa" w:w="204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Interference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29.53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86.68</w:t>
            </w:r>
          </w:p>
        </w:tc>
        <w:tc>
          <w:tcPr>
            <w:tcW w:type="dxa" w:w="2098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0.1072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收紧 deadline 会显著提高违约率；干扰增强则同时推高违约率、p99 和估计能耗。在 1.5 倍干扰下，方法仍优于同协议中的主要基线，但性能已经明显下降，说明其适应能力存在边界。tail-risk weight 的补充实验表明默认权重 1.0 在模型 mix 漂移、静态负载和能耗之间较均衡，但并非每个单独场景的最优值。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本文仍有四项限制：主结果仅使用一个训练种子，5 个评估种子不能证明训练稳定性；能耗来自执行 profile，不代表整机端到端实测；主环境使用随机干扰代理，硬件测量尚未作为完整方向表进入训练；基础动作 mask 的设备忙余量可能间接反映运行变化。因此，本文只对 Gate 的因果在线估计作有限主张，结论也仅适用于当前协议。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中文论文初稿 · Experiments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3CE4"/>
    <w:rsid w:val="1E002D45"/>
    <w:rsid w:val="2C6170A5"/>
    <w:rsid w:val="2D0D13E0"/>
    <w:rsid w:val="3C1165F2"/>
    <w:rsid w:val="4E9B3DFF"/>
    <w:rsid w:val="671F5543"/>
    <w:rsid w:val="782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48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12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80" w:after="40"/>
      <w:ind w:firstLine="0"/>
      <w:outlineLvl w:val="2"/>
    </w:pPr>
    <w:rPr>
      <w:rFonts w:asciiTheme="majorHAnsi" w:hAnsiTheme="majorHAnsi" w:eastAsiaTheme="majorEastAsia" w:cstheme="majorBidi" w:ascii="Arial" w:hAnsi="Arial" w:eastAsia="黑体"/>
      <w:b/>
      <w:bCs/>
      <w:color w:val="1F4D78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 w:before="30" w:after="30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3250</Words>
  <Characters>5108</Characters>
  <Lines>0</Lines>
  <Paragraphs>0</Paragraphs>
  <TotalTime>494</TotalTime>
  <ScaleCrop>false</ScaleCrop>
  <LinksUpToDate>false</LinksUpToDate>
  <CharactersWithSpaces>5595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</dc:creator>
  <dc:description>generated by python-docx</dc:description>
  <cp:lastModifiedBy>.</cp:lastModifiedBy>
  <dcterms:modified xsi:type="dcterms:W3CDTF">2026-07-26T06:52:59Z</dcterms:modified>
  <dc:subject>多 DNN 边缘推理在线调度</dc:subject>
  <dc:title>Introduction 中文修订稿</dc:title>
  <cp:revision>1</cp:revision>
  <cp:keywords>edge inference, dynamic batching, SLA, tail latency, discrete SAC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