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/>
        <w:ind w:firstLine="0"/>
      </w:pPr>
      <w:r>
        <w:t>4 RiskBudget-SAC 方法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RiskBudget-SAC 按“已揭示信息建模、选择性风险筛选、动作语义评分和尾部风险预算训练”四个环节运行。在线阶段，调度器只使用当前队列与设备状态、已经发生的到达和已完成 batch 反馈；Risk Gate 先从第三章定义的物理动作中构造非空可选集合，Actor 再完成最终动作选择。训练阶段，Twin Critics 利用模型级 SLA 偏差、连续尾部风险代理和 profile-estimated 能耗预算学习长期价值。GRU、EWMA、平衡回放、物理时间 n-step、目标网络与熵调节均作为该流程的配套实现，而非彼此独立的贡献。</w:t>
      </w:r>
    </w:p>
    <w:p>
      <w:pPr>
        <w:pStyle w:val="4"/>
        <w:keepNext/>
        <w:ind w:firstLine="0"/>
      </w:pPr>
      <w:r>
        <w:t>4.1 方法总览与信息边界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在事件时刻 t_k，策略可观察各 DNN 队列长度和 slack 分布、设备占用与并发组成、近期已揭示到达统计，以及最近完成 batch 的执行反馈。策略不读取环境设置中的真实到达率、未来请求、场景名称、运行时减速因子或隐藏干扰强度。由第三章式 (5) 得到的物理动作集合首先保证队列、batch 与设备容量约束；Risk Gate 只在此基础上选择性收缩动作集合，不生成新动作，也不替代 Actor 排序。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方法的两个核心设计分别对应第三章的两类困难：动作语义评分利用 DNN、设备、batch 和基准服务属性之间的共享结构，避免把有限动作库仅视为互不相关的编号；基于已揭示反馈的风险控制则利用在线到达估计和完成反馈，在负载压力或 deadline 紧迫时限制明显不利的探索，并通过软约束训练塑造长期策略。</w:t>
      </w:r>
    </w:p>
    <w:p>
      <w:pPr>
        <w:pStyle w:val="4"/>
        <w:keepNext/>
        <w:ind w:firstLine="0"/>
      </w:pPr>
      <w:r>
        <w:t>4.2 已揭示到达与完成反馈表征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调度器在每个事件上刷新即时状态 s_k，其中包含各 DNN 的队列与 deadline 裕量、设备占用和并发执行组成。为反映短时到达变化，对最近长度为 Δ 的观测窗口计数，并按模型使用 EWMA 更新在线到达率：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limUpp>
                    <m:e>
                      <m:r>
                        <m:t>λ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m,k</m:t>
                  </m:r>
                </m:sub>
              </m:sSub>
              <m:r>
                <m:t>=(1−</m:t>
              </m:r>
              <m:sSub>
                <m:e>
                  <m:r>
                    <m:t>α</m:t>
                  </m:r>
                </m:e>
                <m:sub>
                  <m:r>
                    <m:t>λ</m:t>
                  </m:r>
                </m:sub>
              </m:sSub>
              <m:r>
                <m:t>)</m:t>
              </m:r>
              <m:sSub>
                <m:e>
                  <m:limUpp>
                    <m:e>
                      <m:r>
                        <m:t>λ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m,k−1</m:t>
                  </m:r>
                </m:sub>
              </m:sSub>
              <m:r>
                <m:t>+</m:t>
              </m:r>
              <m:sSub>
                <m:e>
                  <m:r>
                    <m:t>α</m:t>
                  </m:r>
                </m:e>
                <m:sub>
                  <m:r>
                    <m:t>λ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−Δ,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</m:num>
                <m:den>
                  <m:r>
                    <m:t>Δ</m:t>
                  </m:r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(18)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(18) 中，</w:t>
      </w:r>
      <m:oMath>
        <m:sSub>
          <m:e>
            <m:limUpp>
              <m:e>
                <m:r>
                  <m:t>λ</m:t>
                </m:r>
              </m:e>
              <m:lim>
                <m:r>
                  <m:t>^</m:t>
                </m:r>
              </m:lim>
            </m:limUpp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仅由截至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已到达的请求更新，</w:t>
      </w:r>
      <m:oMath>
        <m:d>
          <m:dPr>
            <m:begChr m:val=""/>
            <m:sepChr m:val=""/>
            <m:endChr m:val="]"/>
          </m:dPr>
          <m:e>
            <m:sSub>
              <m:e>
                <m:r>
                  <m:t>α</m:t>
                </m:r>
              </m:e>
              <m:sub>
                <m:r>
                  <m:t>λ</m:t>
                </m:r>
              </m:sub>
            </m:sSub>
            <m:r>
              <m:t>∈</m:t>
            </m:r>
            <m:r>
              <m:t>(</m:t>
            </m:r>
            <m:r>
              <m:t>0</m:t>
            </m:r>
            <m:r>
              <m:t>,</m:t>
            </m:r>
            <m:r>
              <m:t>1</m:t>
            </m:r>
          </m:e>
        </m:d>
      </m:oMath>
      <w:r>
        <w:rPr>
          <w:rFonts w:ascii="Times New Roman" w:hAnsi="Times New Roman" w:eastAsia="宋体"/>
          <w:b w:val="0"/>
        </w:rPr>
        <w:t xml:space="preserve"> 为平滑系数。所有 episode 采用统一冷启动，不从环境读取真实 </w:t>
      </w:r>
      <m:oMath>
        <m:sSub>
          <m:e>
            <m:r>
              <m:t>λ</m:t>
            </m:r>
          </m:e>
          <m:sub>
            <m:r>
              <m:t>m</m:t>
            </m:r>
          </m:sub>
        </m:sSub>
        <m:r>
          <m:t>(t)</m:t>
        </m:r>
      </m:oMath>
      <w:r>
        <w:rPr>
          <w:rFonts w:ascii="Times New Roman" w:hAnsi="Times New Roman" w:eastAsia="宋体"/>
          <w:b w:val="0"/>
        </w:rPr>
        <w:t>、模型 mix 或未来计数。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执行时间估计以第三章的基准 profile 为起点，并由相同 DNN–设备组合的已完成 batch 反馈进行保守校正。设 μ^ρ_{m,d,k} 和 σ^ρ_{m,d,k} 分别为截至 t_k 观测到的执行时延比值的 EWMA 均值和标准差，则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u</m:t>
                  </m:r>
                </m:e>
                <m:sub>
                  <m:r>
                    <m:t>m,d,k</m:t>
                  </m:r>
                </m:sub>
                <m:sup>
                  <m:r>
                    <m:t>ρ</m:t>
                  </m:r>
                </m:sup>
              </m:sSubSup>
              <m:r>
                <m:t>=</m:t>
              </m:r>
              <m:sSubSup>
                <m:e>
                  <m:r>
                    <m:t>μ</m:t>
                  </m:r>
                </m:e>
                <m:sub>
                  <m:r>
                    <m:t>m,d,k</m:t>
                  </m:r>
                </m:sub>
                <m:sup>
                  <m:r>
                    <m:t>ρ</m:t>
                  </m:r>
                </m:sup>
              </m:sSubSup>
              <m:r>
                <m:t>+χ</m:t>
              </m:r>
              <m:sSubSup>
                <m:e>
                  <m:r>
                    <m:t>σ</m:t>
                  </m:r>
                </m:e>
                <m:sub>
                  <m:r>
                    <m:t>m,d,k</m:t>
                  </m:r>
                </m:sub>
                <m:sup>
                  <m:r>
                    <m:t>ρ</m:t>
                  </m:r>
                </m:sup>
              </m:sSub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limUpp>
                    <m:e>
                      <m:r>
                        <m:t>ρ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m,d,k</m:t>
                  </m:r>
                </m:sub>
              </m:sSub>
              <m:r>
                <m:t>=clip</m:t>
              </m:r>
              <m:d>
                <m:dPr>
                  <m:sepChr m:val=","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m,d,k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min</m:t>
                      </m:r>
                    </m:sub>
                  </m:sSub>
                </m:e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max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limUpp>
                    <m:e>
                      <m:r>
                        <m:t>T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k</m:t>
                  </m:r>
                </m:sub>
              </m:sSub>
              <m:r>
                <m:t>(m,d,b)=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T</m:t>
                      </m:r>
                    </m:e>
                  </m:bar>
                </m:e>
                <m:sub>
                  <m:r>
                    <m:t>m,d,b</m:t>
                  </m:r>
                </m:sub>
              </m:sSub>
              <m:sSub>
                <m:e>
                  <m:limUpp>
                    <m:e>
                      <m:r>
                        <m:t>ρ</m:t>
                      </m:r>
                    </m:e>
                    <m:lim>
                      <m:r>
                        <m:t>^</m:t>
                      </m:r>
                    </m:lim>
                  </m:limUpp>
                </m:e>
                <m:sub>
                  <m:r>
                    <m:t>m,d,k</m:t>
                  </m:r>
                </m:sub>
              </m:sSub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(19)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(19) 中，u^ρ_{m,d,k} 为加入不确定性裕量后的时延比值，观测比值由已完成 batch 的实际执行时延除以相应基准执行时延得到；χ 控制裕量大小，clip(·) 将修正限制在预设有界区间。该预测器不读取正在运行 batch 的真实减速因子，只利用完成后已经揭示的反馈。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 xml:space="preserve">令 </w:t>
      </w:r>
      <m:oMath>
        <m:sSub>
          <m:e>
            <m:r>
              <m:rPr>
                <m:scr m:val="script"/>
              </m:rPr>
              <m:t>H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表示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前最近 </w:t>
      </w:r>
      <m:oMath>
        <m:r>
          <m:t>H</m:t>
        </m:r>
      </m:oMath>
      <w:r>
        <w:rPr>
          <w:rFonts w:ascii="Times New Roman" w:hAnsi="Times New Roman" w:eastAsia="宋体"/>
          <w:b w:val="0"/>
        </w:rPr>
        <w:t xml:space="preserve"> 条已完成 batch 的反馈窗口。每条记录包含完成时间的新近程度、DNN 类型、执行设备、batch size，以及相对于基准 profile 的执行时延和能耗比值。GRU 按完成顺序编码该窗口，并与即时状态组成 Actor 和 Critic 的上下文：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>
                <m:e>
                  <m:r>
                    <m:t>GRU</m:t>
                  </m:r>
                </m:e>
                <m:sub>
                  <m:r>
                    <m:t>ω</m:t>
                  </m:r>
                </m:sub>
              </m:sSub>
              <m:r>
                <m:t>(</m:t>
              </m:r>
              <m:sSub>
                <m:e>
                  <m:r>
                    <m:rPr>
                      <m:scr m:val="script"/>
                    </m:rPr>
                    <m:t>H</m:t>
                  </m:r>
                </m:e>
                <m:sub>
                  <m:r>
                    <m:t>k</m:t>
                  </m:r>
                </m:sub>
              </m:sSub>
              <m:r>
                <m:t>),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d>
                <m:dPr>
                  <m:begChr m:val="["/>
                  <m:sepChr m:val=","/>
                  <m:endChr m:val="]"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(20)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(20) 中，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是固定维度的历史表示，</w:t>
      </w:r>
      <m:oMath>
        <m:r>
          <m:t>ω</m:t>
        </m:r>
      </m:oMath>
      <w:r>
        <w:rPr>
          <w:rFonts w:ascii="Times New Roman" w:hAnsi="Times New Roman" w:eastAsia="宋体"/>
          <w:b w:val="0"/>
        </w:rPr>
        <w:t xml:space="preserve"> 为 GRU 参数，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为后续策略和值函数使用的完整上下文。</w:t>
      </w:r>
      <m:oMath>
        <m:sSub>
          <m:e>
            <m:limUpp>
              <m:e>
                <m:r>
                  <m:rPr>
                    <m:sty m:val="bi"/>
                  </m:rPr>
                  <m:t>λ</m:t>
                </m:r>
              </m:e>
              <m:lim>
                <m:r>
                  <m:t>^</m:t>
                </m:r>
              </m:lim>
            </m:limUpp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与动作完成时间估计主要供 Risk Gate 判断压力和紧迫度；它们不被作为额外 oracle 变量直接拼入 Actor。</w:t>
      </w:r>
    </w:p>
    <w:p>
      <w:pPr>
        <w:pStyle w:val="4"/>
        <w:keepNext/>
        <w:ind w:firstLine="0"/>
      </w:pPr>
      <w:r>
        <w:t>4.3 反馈校准的选择性 Risk Gate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Risk Gate 的输入始终受第三章式 (5) 限定。它读取物理动作集合、当前可观测状态、在线到达率估计和以完成反馈校正的动作时延估计，并返回非空风险动作集合：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rPr>
                      <m:scr m:val="script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risk</m:t>
                  </m:r>
                </m:sup>
              </m:sSubSup>
              <m:r>
                <m:t>=G</m:t>
              </m:r>
              <m:d>
                <m:dPr>
                  <m:sepChr m:val=","/>
                </m:dPr>
                <m:e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phy</m:t>
                      </m:r>
                    </m:sup>
                  </m:sSubSup>
                </m:e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limUpp>
                        <m:e>
                          <m:r>
                            <m:rPr>
                              <m:sty m:val="bi"/>
                            </m:rPr>
                            <m:t>λ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k</m:t>
                      </m:r>
                    </m:sub>
                  </m:sSub>
                </m:e>
                <m:e>
                  <m:sSub>
                    <m:e>
                      <m:limUpp>
                        <m:e>
                          <m:r>
                            <m:rPr>
                              <m:sty m:val="bi"/>
                            </m:rPr>
                            <m:t>T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rPr>
                      <m:scr m:val="script"/>
                    </m:rP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risk</m:t>
                  </m:r>
                </m:sup>
              </m:sSubSup>
              <m:r>
                <m:t>≠∅.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(21)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(21) 中，</w:t>
      </w:r>
      <m:oMath>
        <m:r>
          <m:t>G(·)</m:t>
        </m:r>
      </m:oMath>
      <w:r>
        <w:rPr>
          <w:rFonts w:ascii="Times New Roman" w:hAnsi="Times New Roman" w:eastAsia="宋体"/>
          <w:b w:val="0"/>
        </w:rPr>
        <w:t xml:space="preserve"> 表示选择性 Risk Gate，</w:t>
      </w:r>
      <m:oMath>
        <m:sSub>
          <m:e>
            <m:limUpp>
              <m:e>
                <m:r>
                  <m:rPr>
                    <m:sty m:val="bi"/>
                  </m:rPr>
                  <m:t>T</m:t>
                </m:r>
              </m:e>
              <m:lim>
                <m:r>
                  <m:t>^</m:t>
                </m:r>
              </m:lim>
            </m:limUpp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以物理派发动作为索引。Gate 先根据 </w:t>
      </w:r>
      <m:oMath>
        <m:sSub>
          <m:e>
            <m:r>
              <m:t>P</m:t>
            </m:r>
          </m:e>
          <m:sub>
            <m:r>
              <m:t>m,k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m</m:t>
                </m:r>
              </m:sub>
            </m:sSub>
            <m:r>
              <m:t>(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t>)</m:t>
            </m:r>
          </m:num>
          <m:den>
            <m:r>
              <m:t>max(</m:t>
            </m:r>
            <m:sSub>
              <m:e>
                <m:limUpp>
                  <m:e>
                    <m:r>
                      <m:t>λ</m:t>
                    </m:r>
                  </m:e>
                  <m:lim>
                    <m:r>
                      <m:t>^</m:t>
                    </m:r>
                  </m:lim>
                </m:limUpp>
              </m:e>
              <m:sub>
                <m:r>
                  <m:t>m,k</m:t>
                </m:r>
              </m:sub>
            </m:sSub>
            <m:sSub>
              <m:e>
                <m:r>
                  <m:t>δ</m:t>
                </m:r>
              </m:e>
              <m:sub>
                <m:r>
                  <m:t>m</m:t>
                </m:r>
              </m:sub>
            </m:sSub>
            <m:r>
              <m:t>,1)</m:t>
            </m:r>
          </m:den>
        </m:f>
      </m:oMath>
      <w:r>
        <w:rPr>
          <w:rFonts w:ascii="Times New Roman" w:hAnsi="Times New Roman" w:eastAsia="宋体"/>
          <w:b w:val="0"/>
        </w:rPr>
        <w:t xml:space="preserve"> 估计各模型队列压力，并计算队首请求的归一化 slack。低压力且无紧迫请求时，Gate 保留全部物理可行动作；压力升高时，它聚焦压力最大的 DNN 队列，并保留预测服务率接近该队列当前最佳值的派发动作；存在紧迫请求时，则优先筛选预测完成时刻仍留有安全裕量的动作。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若紧迫队列不存在预测可及时完成的动作，Gate 不返回空集合，而是保留预计按时吞吐率较高的动作；若所有候选均预计超时，则退回到服务率较高的动作以继续排空积压。Gate 只构造允许集合，最终的 DNN、设备和 batch 决策仍由 Actor 作出。该筛选降低明显高风险探索的机会，但不构成确定性安全或 SLA 保证。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8334"/>
      </w:tblGrid>
      <w:tr>
        <w:trPr>
          <w:cantSplit/>
        </w:trPr>
        <w:tc>
          <w:tcPr>
            <w:tcW w:type="dxa" w:w="8901"/>
            <w:gridSpan w:val="2"/>
            <w:shd w:fill="D9EAF7"/>
            <w:tcMar>
              <w:top w:w="80" w:type="dxa"/>
              <w:bottom w:w="70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20"/>
              </w:rPr>
              <w:t>Algorithm 1: 反馈校准的选择性 Risk Gate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Input: </w:t>
            </w:r>
            <w:r>
              <w:rPr>
                <w:rFonts w:ascii="Times New Roman" w:hAnsi="Times New Roman" w:eastAsia="宋体"/>
                <w:sz w:val="19"/>
              </w:rPr>
              <w:t>当前可观测状态 s_k、物理动作集合 A_k^phy、已揭示到达、已完成 batch 反馈、基准服务特性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Output: </w:t>
            </w:r>
            <w:r>
              <w:rPr>
                <w:rFonts w:ascii="Times New Roman" w:hAnsi="Times New Roman" w:eastAsia="宋体"/>
                <w:sz w:val="19"/>
              </w:rPr>
              <w:t>非空动作集合 A_k^risk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用截至 t_k 的到达事件按式 (18) 更新各 DNN 的在线到达率估计。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同步新完成 batch 的执行时延比值，并按式 (19)更新对应 DNN–设备组合的保守完成时间修正。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由当前队列、模型级 deadline 和 λ̂_k 计算模型级压力，并读取各队首请求的归一化 slack。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若不存在紧迫请求且最大压力低于阈值，则返回原物理动作集合 A_k^phy。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若不存在紧迫请求但压力较高，则选取压力最大的 DNN，并保留预测服务率达到该 DNN 最佳值给定比例的派发动作。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若存在紧迫请求，则只考察最紧迫 DNN 的物理派发动作，并根据 T̂_k 与请求 deadline 筛选具有完成裕量的动作。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若没有预计可及时完成的动作，则保留预计按时吞吐率最高的一组动作；若其均为零，则退回到服务率最高的一组动作。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  <w:tcBorders>
              <w:bottom w:val="single" w:sz="8" w:color="4F6475"/>
            </w:tcBorders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  <w:tcBorders>
              <w:bottom w:val="single" w:sz="8" w:color="4F6475"/>
            </w:tcBorders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若任一分支产生空集合，则返回原物理动作集合中的可行动作，确保系统能够继续推进。</w:t>
            </w:r>
          </w:p>
        </w:tc>
      </w:tr>
    </w:tbl>
    <w:p>
      <w:pPr>
        <w:pStyle w:val="4"/>
        <w:keepNext/>
        <w:ind w:firstLine="0"/>
      </w:pPr>
      <w:r>
        <w:t>4.4 动作语义对齐的 SAC 调度器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对每个候选动作，RiskBudget-SAC 不仅保留动作编号，还编码其可共享语义。动作特征由 WAIT 标识、DNN one-hot、执行设备 one-hot、batch size 的双尺度表示和第三章式 (7) 的基准服务属性组成：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r>
                <m:t>ϕ(</m:t>
              </m:r>
              <m:r>
                <m:rPr>
                  <m:sty m:val="p"/>
                </m:rPr>
                <m:t>WAIT</m:t>
              </m:r>
              <m:r>
                <m:t>)=</m:t>
              </m:r>
              <m:sSup>
                <m:e>
                  <m:d>
                    <m:dPr>
                      <m:begChr m:val="["/>
                      <m:sepChr m:val=","/>
                      <m:endChr m:val="]"/>
                    </m:dPr>
                    <m:e>
                      <m:r>
                        <m:t>1</m:t>
                      </m:r>
                    </m:e>
                    <m:e>
                      <m:r>
                        <m:rPr>
                          <m:sty m:val="b"/>
                        </m:rPr>
                        <m:t>0</m:t>
                      </m:r>
                    </m:e>
                  </m:d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ϕ(m,d,b)=</m:t>
              </m:r>
              <m:sSup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t>0</m:t>
                      </m:r>
                      <m:r>
                        <m:t>,</m:t>
                      </m:r>
                      <m:sSubSup>
                        <m:e>
                          <m:r>
                            <m:rPr>
                              <m:sty m:val="bi"/>
                            </m:rPr>
                            <m:t>e</m:t>
                          </m:r>
                        </m:e>
                        <m:sub>
                          <m:r>
                            <m:t>m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  <m:r>
                        <m:t>,</m:t>
                      </m:r>
                      <m:sSubSup>
                        <m:e>
                          <m:r>
                            <m:rPr>
                              <m:sty m:val="bi"/>
                            </m:rPr>
                            <m:t>e</m:t>
                          </m:r>
                        </m:e>
                        <m:sub>
                          <m:r>
                            <m:t>d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  <m:r>
                        <m:t>,</m:t>
                      </m:r>
                      <m:r>
                        <m:t>ψ</m:t>
                      </m:r>
                      <m:r>
                        <m:t>(</m:t>
                      </m:r>
                      <m:r>
                        <m:t>b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p>
                      <m:r>
                        <m:t>,</m:t>
                      </m:r>
                      <m:sSubSup>
                        <m:e>
                          <m:r>
                            <m:rPr>
                              <m:scr m:val="script"/>
                            </m:rPr>
                            <m:t>P</m:t>
                          </m:r>
                        </m:e>
                        <m:sub>
                          <m:r>
                            <m:t>m,d,b</m:t>
                          </m:r>
                        </m:sub>
                        <m:sup>
                          <m:r>
                            <m:rPr>
                              <m:scr m:val="sans-serif"/>
                              <m:sty m:val="p"/>
                            </m:rPr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ψ(b)=</m:t>
              </m:r>
              <m:sSup>
                <m:e>
                  <m:d>
                    <m:dPr>
                      <m:begChr m:val="["/>
                      <m:sepChr m:val=","/>
                      <m:endChr m:val="]"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b</m:t>
                      </m:r>
                    </m:e>
                    <m:e>
                      <m:r>
                        <m:t>b</m:t>
                      </m:r>
                    </m:e>
                  </m:d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(22)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(22) 中，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和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分别为 DNN 与设备的 one-hot 向量。</w:t>
      </w:r>
      <m:oMath>
        <m:r>
          <m:t>ψ(b)</m:t>
        </m:r>
      </m:oMath>
      <w:r>
        <w:rPr>
          <w:rFonts w:ascii="Times New Roman" w:hAnsi="Times New Roman" w:eastAsia="宋体"/>
          <w:b w:val="0"/>
        </w:rPr>
        <w:t xml:space="preserve"> 同时保留 batch size 的对数尺度和线性尺度，以区分倍增关系与绝对大小。连续特征在送入网络前按照固定参考尺度归一化；WAIT 的非适用字段置零。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Actor 分别编码上下文与动作语义。基础评分头根据当前上下文为有限动作库给出初始分数，动作条件残差头再利用共享动作表示进行校正：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sSubSup>
                <m:e>
                  <m: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ctx</m:t>
                  </m:r>
                </m:sup>
              </m:sSubSup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t>=</m:t>
              </m:r>
              <m:sSubSup>
                <m:e>
                  <m:r>
                    <m:t>f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act</m:t>
                  </m:r>
                </m:sup>
              </m:sSubSup>
              <m:d>
                <m:dPr>
                  <m:sepChr m:val=""/>
                </m:dPr>
                <m:e>
                  <m:r>
                    <m:t>ϕ</m:t>
                  </m:r>
                  <m:r>
                    <m:t>(</m:t>
                  </m:r>
                  <m:r>
                    <m:t>a</m:t>
                  </m:r>
                  <m:r>
                    <m:t>)</m:t>
                  </m:r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ℓ</m:t>
                  </m:r>
                </m:e>
                <m:sub>
                  <m:r>
                    <m:t>k</m:t>
                  </m:r>
                </m:sub>
              </m:sSub>
              <m:r>
                <m:t>(a)=</m:t>
              </m:r>
              <m:sSubSup>
                <m:e>
                  <m:r>
                    <m:t>g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base</m:t>
                  </m:r>
                </m:sup>
              </m:sSubSup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)</m:t>
                  </m:r>
                </m:e>
                <m:sub>
                  <m:r>
                    <m:t>a</m:t>
                  </m:r>
                </m:sub>
              </m:sSub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res</m:t>
                  </m:r>
                </m:sup>
              </m:sSubSup>
              <m:r>
                <m:t>(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t>,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t>).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(23)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(23) 中，f_ctx 和 f_act 是上下文与动作 MLP 编码器，z_k 和 u_a 为相应隐表示。基础头保留对每个有限动作的直接评分能力，残差头则利用状态–动作交互对其修正，使具有相同 DNN、设备或相近 batch 属性的动作能够共享统计信息。该式省略了实现中的逐元素交互特征，但不改变“基础评分加动作语义残差”的结构。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策略只在 Risk Gate 保留的动作集合内归一化：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(a∣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I</m:t>
                  </m:r>
                  <m:r>
                    <m:t>[a∈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risk</m:t>
                      </m:r>
                    </m:sup>
                  </m:sSubSup>
                  <m:r>
                    <m:t>]</m:t>
                  </m:r>
                  <m:r>
                    <m:rPr>
                      <m:sty m:val="p"/>
                    </m:rPr>
                    <m:t>exp</m:t>
                  </m:r>
                  <m:r>
                    <m:t>(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(a))</m:t>
                  </m:r>
                </m:num>
                <m:den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limUpp>
                        <m:e>
                          <m:r>
                            <m:t>a</m:t>
                          </m:r>
                        </m:e>
                        <m:lim>
                          <m:r>
                            <m:t>~</m:t>
                          </m:r>
                        </m:lim>
                      </m:limUpp>
                      <m:r>
                        <m:t>∈</m:t>
                      </m:r>
                      <m:sSubSup>
                        <m:e>
                          <m:r>
                            <m:rPr>
                              <m:scr m:val="script"/>
                            </m:rP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risk</m:t>
                          </m:r>
                        </m:sup>
                      </m:sSubSup>
                    </m:sub>
                    <m:sup/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(</m:t>
                      </m:r>
                    </m:e>
                  </m:nary>
                  <m:sSub>
                    <m:e>
                      <m:r>
                        <m:t>ℓ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(</m:t>
                  </m:r>
                  <m:limUpp>
                    <m:e>
                      <m:r>
                        <m:t>a</m:t>
                      </m:r>
                    </m:e>
                    <m:lim>
                      <m:r>
                        <m:t>~</m:t>
                      </m:r>
                    </m:lim>
                  </m:limUpp>
                  <m:r>
                    <m:t>))</m:t>
                  </m:r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(24)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</w:rPr>
        <w:t>式 (24) 的 masked softmax 保证被物理约束或 Gate 排除的动作概率为零。训练时从该分布随机采样以维持探索；评估和部署时直接选择概率最大的单个动作，不执行候选搜索或多次试选。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两个独立 Critic 在全局上下文与静态动作语义之外，还读取与候选动作对应的局部状态。对派发动作，该局部状态包含目标 DNN 的队列、队首 slack 与分布特征，以及目标设备的占用、并发组成和可观测干扰水平；WAIT 则使用相应的全局聚合表示。Twin Critics 定义为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40" w:after="40"/>
              <w:jc w:val="center"/>
            </w:pPr>
            <m:oMath>
              <m:sSub>
                <m:e>
                  <m:r>
                    <m:t>Q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,a)=</m:t>
              </m:r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,</m:t>
                  </m:r>
                  <m:r>
                    <m:t>ϕ</m:t>
                  </m:r>
                  <m:r>
                    <m:t>(</m:t>
                  </m:r>
                  <m:r>
                    <m:t>a</m:t>
                  </m:r>
                  <m:r>
                    <m:t>)</m:t>
                  </m:r>
                  <m:r>
                    <m:t>,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k,a</m:t>
                      </m:r>
                    </m:sub>
                    <m:sup>
                      <m:r>
                        <m:rPr>
                          <m:sty m:val="p"/>
                        </m:rPr>
                        <m:t>loc</m:t>
                      </m:r>
                    </m:sup>
                  </m:sSubSup>
                </m:e>
              </m:d>
              <m:r>
                <m:t>,</m:t>
              </m:r>
              <m:r>
                <m:t>j∈{1,2}.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(25)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(25) 中，</w:t>
      </w:r>
      <m:oMath>
        <m:sSub>
          <m:e>
            <m:r>
              <m:t>F</m:t>
            </m:r>
          </m:e>
          <m:sub>
            <m:sSub>
              <m:e>
                <m:r>
                  <m:t>ψ</m:t>
                </m:r>
              </m:e>
              <m:sub>
                <m:r>
                  <m:t>j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</w:rPr>
        <w:t xml:space="preserve"> 是第 </w:t>
      </w:r>
      <m:oMath>
        <m:r>
          <m:t>j</m:t>
        </m:r>
      </m:oMath>
      <w:r>
        <w:rPr>
          <w:rFonts w:ascii="Times New Roman" w:hAnsi="Times New Roman" w:eastAsia="宋体"/>
          <w:b w:val="0"/>
        </w:rPr>
        <w:t xml:space="preserve"> 个动作对齐价值网络，</w:t>
      </w:r>
      <m:oMath>
        <m:sSubSup>
          <m:e>
            <m:r>
              <m:t>s</m:t>
            </m:r>
          </m:e>
          <m:sub>
            <m:r>
              <m:t>k,a</m:t>
            </m:r>
          </m:sub>
          <m:sup>
            <m:r>
              <m:rPr>
                <m:sty m:val="p"/>
              </m:rPr>
              <m:t>loc</m:t>
            </m:r>
          </m:sup>
        </m:sSubSup>
      </m:oMath>
      <w:r>
        <w:rPr>
          <w:rFonts w:ascii="Times New Roman" w:hAnsi="Times New Roman" w:eastAsia="宋体"/>
          <w:b w:val="0"/>
        </w:rPr>
        <w:t xml:space="preserve"> 是从当前可观测状态中提取的动作相关局部信息。两个 Critic 结构相同但参数独立，并在 Bellman target 和 Actor 更新中采用较小预测值，以抑制价值高估。</w:t>
      </w:r>
    </w:p>
    <w:p>
      <w:pPr>
        <w:pStyle w:val="4"/>
        <w:keepNext/>
        <w:ind w:firstLine="0"/>
      </w:pPr>
      <w:r>
        <w:t>4.5 尾部风险预算训练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经验 p99 只有在收集完整请求 cohort 后才能计算，难以为每个事件提供及时训练信号。为此，本文根据当前队列积压与队首 slack 构造连续尾部风险水平，并对一个动作持续期间的风险进行梯形积分近似：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ξ</m:t>
                  </m:r>
                </m:e>
                <m:sub>
                  <m:r>
                    <m:t>m,k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)</m:t>
                  </m:r>
                </m:num>
                <m:den>
                  <m:r>
                    <m:t>max(</m:t>
                  </m:r>
                  <m:sSub>
                    <m:e>
                      <m:limUpp>
                        <m:e>
                          <m:r>
                            <m:t>λ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m,k</m:t>
                      </m:r>
                    </m:sub>
                  </m:sSub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ref</m:t>
                      </m:r>
                    </m:sub>
                  </m:sSub>
                  <m:r>
                    <m:t>,1)</m:t>
                  </m:r>
                </m:den>
              </m:f>
              <m:sSubSup>
                <m:e>
                  <m:d>
                    <m:dPr>
                      <m:begChr m:val="["/>
                      <m:sepChr m:val="−"/>
                      <m:endChr m:val="]"/>
                    </m:dPr>
                    <m:e>
                      <m:sSub>
                        <m:e>
                          <m:r>
                            <m:t>η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  <m:e>
                      <m:sSub>
                        <m:e>
                          <m:limUpp>
                            <m:e>
                              <m:r>
                                <m:t>s</m:t>
                              </m:r>
                            </m:e>
                            <m:lim>
                              <m:r>
                                <m:t>~</m:t>
                              </m:r>
                            </m:lim>
                          </m:limUpp>
                        </m:e>
                        <m:sub>
                          <m:r>
                            <m:t>m,k</m:t>
                          </m:r>
                        </m:sub>
                      </m:sSub>
                    </m:e>
                  </m:d>
                </m:e>
                <m:sub>
                  <m:r>
                    <m:t>+</m:t>
                  </m:r>
                </m:sub>
                <m:sup>
                  <m:r>
                    <m:t>p</m:t>
                  </m:r>
                </m:sup>
              </m:sSubSup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=clip</m:t>
              </m:r>
              <m:d>
                <m:dPr>
                  <m:sepChr m:val=","/>
                </m:dPr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m∈</m:t>
                      </m:r>
                      <m:r>
                        <m:rPr>
                          <m:scr m:val="script"/>
                        </m:rPr>
                        <m:t>M</m:t>
                      </m:r>
                    </m:sub>
                    <m:sup/>
                    <m:e>
                      <m:sSub>
                        <m:e>
                          <m:r>
                            <m:t>ξ</m:t>
                          </m:r>
                        </m:e>
                        <m:sub>
                          <m:r>
                            <m:t>m,k</m:t>
                          </m:r>
                        </m:sub>
                      </m:sSub>
                    </m:e>
                  </m:nary>
                </m:e>
                <m:e>
                  <m:r>
                    <m:t>0</m:t>
                  </m:r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max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tail</m:t>
                  </m:r>
                </m:sup>
              </m:sSubSup>
              <m: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k+1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δ</m:t>
                      </m:r>
                    </m:e>
                    <m:sub>
                      <m:r>
                        <m:rPr>
                          <m:sty m:val="p"/>
                        </m:rPr>
                        <m:t>ref</m:t>
                      </m:r>
                    </m:sub>
                  </m:sSub>
                </m:den>
              </m:f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(26)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(26) 中，</w:t>
      </w:r>
      <m:oMath>
        <m:sSub>
          <m:e>
            <m:r>
              <m:t>ξ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表示模型 </w:t>
      </w:r>
      <m:oMath>
        <m:r>
          <m:t>m</m:t>
        </m:r>
      </m:oMath>
      <w:r>
        <w:rPr>
          <w:rFonts w:ascii="Times New Roman" w:hAnsi="Times New Roman" w:eastAsia="宋体"/>
          <w:b w:val="0"/>
        </w:rPr>
        <w:t xml:space="preserve"> 在事件 </w:t>
      </w:r>
      <m:oMath>
        <m:r>
          <m:t>k</m:t>
        </m:r>
      </m:oMath>
      <w:r>
        <w:rPr>
          <w:rFonts w:ascii="Times New Roman" w:hAnsi="Times New Roman" w:eastAsia="宋体"/>
          <w:b w:val="0"/>
        </w:rPr>
        <w:t xml:space="preserve"> 的尾部风险贡献，</w:t>
      </w:r>
      <m:oMath>
        <m:sSub>
          <m:e>
            <m:limUpp>
              <m:e>
                <m:r>
                  <m:t>s</m:t>
                </m:r>
              </m:e>
              <m:lim>
                <m:r>
                  <m:t>~</m:t>
                </m:r>
              </m:lim>
            </m:limUpp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为其队首请求的归一化 slack，</w:t>
      </w:r>
      <m:oMath>
        <m:sSub>
          <m:e>
            <m:r>
              <m:t>η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为风险触发阈值，</w:t>
      </w:r>
      <m:oMath>
        <m:r>
          <m:t>p</m:t>
        </m:r>
      </m:oMath>
      <w:r>
        <w:rPr>
          <w:rFonts w:ascii="Times New Roman" w:hAnsi="Times New Roman" w:eastAsia="宋体"/>
          <w:b w:val="0"/>
        </w:rPr>
        <w:t xml:space="preserve"> 控制对紧迫程度的非线性放大，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ref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是时间归一化常数，</w:t>
      </w:r>
      <m:oMath>
        <m:r>
          <m:t>Δ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为动作持续时间。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为事件时刻的总体风险水平，</w:t>
      </w:r>
      <m:oMath>
        <m:sSub>
          <m:e>
            <m:r>
              <m:t>C</m:t>
            </m:r>
          </m:e>
          <m:sub>
            <m:r>
              <m:t>max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为其数值截断上限。只有 slack 低于阈值的积压进入风险项，长时间占用设备的动作会按持续时间承担更高代价。</w:t>
      </w:r>
      <m:oMath>
        <m:r>
          <m:t>clip(·)</m:t>
        </m:r>
      </m:oMath>
      <w:r>
        <w:rPr>
          <w:rFonts w:ascii="Times New Roman" w:hAnsi="Times New Roman" w:eastAsia="宋体"/>
          <w:b w:val="0"/>
        </w:rPr>
        <w:t xml:space="preserve"> 用于限制极端积压对数值稳定性的影响。该代理用于训练，不与式 (15) 的经验 p99 混同。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每个物理时间 n-step 转移同时保存模型级违约计数、纳入 SLA 统计的请求数和 profile-estimated 能耗。Critic 更新时使用当前模型级对偶变量重构即时奖励：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=−κ</m:t>
              </m:r>
              <m:sSubSup>
                <m:e>
                  <m:r>
                    <m:t>c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tail</m:t>
                  </m:r>
                </m:sup>
              </m:sSubSup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−κ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m∈</m:t>
                  </m:r>
                  <m:r>
                    <m:rPr>
                      <m:scr m:val="script"/>
                    </m:rPr>
                    <m:t>M</m:t>
                  </m:r>
                </m:sub>
                <m:sup/>
                <m:e>
                  <m:sSubSup>
                    <m:e>
                      <m:r>
                        <m:t>λ</m:t>
                      </m:r>
                    </m:e>
                    <m:sub>
                      <m:r>
                        <m:t>m,k</m:t>
                      </m:r>
                    </m:sub>
                    <m:sup>
                      <m:r>
                        <m:rPr>
                          <m:sty m:val="p"/>
                        </m:rPr>
                        <m:t>SLA</m:t>
                      </m:r>
                    </m:sup>
                  </m:sSubSup>
                </m:e>
              </m:nary>
              <m:d>
                <m:dPr>
                  <m:sepChr m:val="−"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</m:d>
            </m:oMath>
          </w:p>
          <w:p>
            <w:pPr>
              <w:spacing w:before="0" w:after="0"/>
              <w:ind w:firstLine="0"/>
              <w:jc w:val="center"/>
            </w:pPr>
            <m:oMath>
              <m:r>
                <m:t>−κ</m:t>
              </m:r>
              <m:sSub>
                <m:e>
                  <m:d>
                    <m:dPr>
                      <m:begChr m:val="["/>
                      <m:sepChr m:val="−"/>
                      <m:endChr m:val="]"/>
                    </m:dPr>
                    <m:e>
                      <m:sSub>
                        <m:e>
                          <m:limUpp>
                            <m:e>
                              <m:r>
                                <m:t>e</m:t>
                              </m:r>
                            </m:e>
                            <m:lim>
                              <m:r>
                                <m:t>^</m:t>
                              </m:r>
                            </m:lim>
                          </m:limUpp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max</m:t>
                          </m:r>
                        </m:sub>
                      </m:s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b>
                  <m:r>
                    <m:t>+</m:t>
                  </m:r>
                </m:sub>
              </m:sSub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m∈</m:t>
                  </m:r>
                  <m:r>
                    <m:rPr>
                      <m:scr m:val="script"/>
                    </m:rPr>
                    <m:t>M</m:t>
                  </m:r>
                </m:sub>
                <m:sup/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</m:nary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(27)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(27) 中，</w:t>
      </w:r>
      <m:oMath>
        <m:sSub>
          <m:e>
            <m:r>
              <m:t>v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和 </w:t>
      </w:r>
      <m:oMath>
        <m:sSub>
          <m:e>
            <m:r>
              <m:t>n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分别为聚合转移内模型 </w:t>
      </w:r>
      <m:oMath>
        <m:r>
          <m:t>m</m:t>
        </m:r>
      </m:oMath>
      <w:r>
        <w:rPr>
          <w:rFonts w:ascii="Times New Roman" w:hAnsi="Times New Roman" w:eastAsia="宋体"/>
          <w:b w:val="0"/>
        </w:rPr>
        <w:t xml:space="preserve"> 的违约请求数与 SLA 统计请求数，</w:t>
      </w:r>
      <m:oMath>
        <m:sSubSup>
          <m:e>
            <m:r>
              <m:t>λ</m:t>
            </m:r>
          </m:e>
          <m:sub>
            <m:r>
              <m:t>m,k</m:t>
            </m:r>
          </m:sub>
          <m:sup>
            <m:r>
              <m:rPr>
                <m:sty m:val="p"/>
              </m:rPr>
              <m:t>SLA</m:t>
            </m:r>
          </m:sup>
        </m:sSubSup>
      </m:oMath>
      <w:r>
        <w:rPr>
          <w:rFonts w:ascii="Times New Roman" w:hAnsi="Times New Roman" w:eastAsia="宋体"/>
          <w:b w:val="0"/>
        </w:rPr>
        <w:t xml:space="preserve"> 为模型级对偶权重；</w:t>
      </w:r>
      <m:oMath>
        <m:sSub>
          <m:e>
            <m:r>
              <m:t>v</m:t>
            </m:r>
          </m:e>
          <m:sub>
            <m:r>
              <m:t>m,k</m:t>
            </m:r>
          </m:sub>
        </m:sSub>
        <m:r>
          <m:t>−</m:t>
        </m:r>
        <m:sSub>
          <m:e>
            <m:r>
              <m:t>ε</m:t>
            </m:r>
          </m:e>
          <m:sub>
            <m:r>
              <m:t>m</m:t>
            </m:r>
          </m:sub>
        </m:sSub>
        <m:sSub>
          <m:e>
            <m:r>
              <m:t>n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为相对允许违约比例的偏差。</w:t>
      </w:r>
      <m:oMath>
        <m:sSub>
          <m:e>
            <m:limUpp>
              <m:e>
                <m:r>
                  <m:t>e</m:t>
                </m:r>
              </m:e>
              <m:lim>
                <m:r>
                  <m:t>^</m:t>
                </m:r>
              </m:lim>
            </m:limUpp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为转移累计的 profile-estimated 能耗，只有超过 </w:t>
      </w:r>
      <m:oMath>
        <m:sSub>
          <m:e>
            <m:r>
              <m:t>E</m:t>
            </m:r>
          </m:e>
          <m:sub>
            <m:r>
              <m:t>max</m:t>
            </m:r>
          </m:sub>
        </m:sSub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的部分受到惩罚。</w:t>
      </w:r>
      <m:oMath>
        <m:r>
          <m:t>[x</m:t>
        </m:r>
        <m:sSub>
          <m:e>
            <m:r>
              <m:t>]</m:t>
            </m:r>
          </m:e>
          <m:sub>
            <m:r>
              <m:t>+</m:t>
            </m:r>
          </m:sub>
        </m:sSub>
        <m:r>
          <m:t>=max(x,0)</m:t>
        </m:r>
      </m:oMath>
      <w:r>
        <w:rPr>
          <w:rFonts w:ascii="Times New Roman" w:hAnsi="Times New Roman" w:eastAsia="宋体"/>
          <w:b w:val="0"/>
        </w:rPr>
        <w:t>，</w:t>
      </w:r>
      <m:oMath>
        <m:r>
          <m:t>κ&gt;0</m:t>
        </m:r>
      </m:oMath>
      <w:r>
        <w:rPr>
          <w:rFonts w:ascii="Times New Roman" w:hAnsi="Times New Roman" w:eastAsia="宋体"/>
          <w:b w:val="0"/>
        </w:rPr>
        <w:t xml:space="preserve"> 为统一奖励尺度。回放缓冲区保存这些组成分量，训练时按当前对偶权重重构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>，从而使历史转移与更新后的约束压力一致。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每个 episode 结束后，模型级 SLA 对偶变量按照观测违约率更新：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m,k</m:t>
                  </m:r>
                </m:sub>
              </m:sSub>
              <m:r>
                <m:t>=</m:t>
              </m:r>
              <m:sSubSup>
                <m:e>
                  <m:r>
                    <m:t>λ</m:t>
                  </m:r>
                </m:e>
                <m:sub>
                  <m:r>
                    <m:t>m,k</m:t>
                  </m:r>
                </m:sub>
                <m:sup>
                  <m:r>
                    <m:rPr>
                      <m:sty m:val="p"/>
                    </m:rPr>
                    <m:t>SLA</m:t>
                  </m:r>
                </m:sup>
              </m:sSubSup>
              <m:r>
                <m:t>+</m:t>
              </m:r>
              <m:sSub>
                <m:e>
                  <m:r>
                    <m:t>η</m:t>
                  </m:r>
                </m:e>
                <m:sub>
                  <m:r>
                    <m:t>λ</m:t>
                  </m:r>
                </m:sub>
              </m:sSub>
              <m:d>
                <m:dPr>
                  <m:sepChr m:val="−"/>
                </m:dPr>
                <m:e>
                  <m:sSub>
                    <m:e>
                      <m:limUpp>
                        <m:e>
                          <m:r>
                            <m:t>ν</m:t>
                          </m:r>
                        </m:e>
                        <m:lim>
                          <m:r>
                            <m:t>^</m:t>
                          </m:r>
                        </m:lim>
                      </m:limUpp>
                    </m:e>
                    <m:sub>
                      <m:r>
                        <m:t>m,k</m:t>
                      </m:r>
                    </m:sub>
                  </m:sSub>
                </m:e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λ</m:t>
                  </m:r>
                </m:e>
                <m:sub>
                  <m:r>
                    <m:t>m,k+1</m:t>
                  </m:r>
                </m:sub>
                <m:sup>
                  <m:r>
                    <m:rPr>
                      <m:sty m:val="p"/>
                    </m:rPr>
                    <m:t>SLA</m:t>
                  </m:r>
                </m:sup>
              </m:sSubSup>
              <m:r>
                <m:t>=</m:t>
              </m:r>
              <m:sSub>
                <m:e>
                  <m:r>
                    <m:t>Π</m:t>
                  </m:r>
                </m:e>
                <m:sub>
                  <m:d>
                    <m:dPr>
                      <m:begChr m:val="["/>
                      <m:sepChr m:val=","/>
                      <m:endChr m:val="]"/>
                    </m:dPr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min</m:t>
                          </m:r>
                        </m:sub>
                      </m:sSub>
                    </m:e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max</m:t>
                          </m:r>
                        </m:sub>
                      </m:sSub>
                    </m:e>
                  </m:d>
                </m:sub>
              </m:sSub>
              <m:d>
                <m:dPr>
                  <m:sepChr m:val=""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m,k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(28)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(28) 中，</w:t>
      </w:r>
      <m:oMath>
        <m:sSub>
          <m:e>
            <m:r>
              <m:t>u</m:t>
            </m:r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为投影前的对偶更新值，</w:t>
      </w:r>
      <m:oMath>
        <m:sSub>
          <m:e>
            <m:limUpp>
              <m:e>
                <m:r>
                  <m:t>ν</m:t>
                </m:r>
              </m:e>
              <m:lim>
                <m:r>
                  <m:t>^</m:t>
                </m:r>
              </m:lim>
            </m:limUpp>
          </m:e>
          <m:sub>
            <m:r>
              <m:t>m,k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为本 episode 的模型级违约率，</w:t>
      </w:r>
      <m:oMath>
        <m:sSub>
          <m:e>
            <m:r>
              <m:t>η</m:t>
            </m:r>
          </m:e>
          <m:sub>
            <m:r>
              <m:t>λ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为对偶学习率，</w:t>
      </w:r>
      <m:oMath>
        <m:r>
          <m:t>Π</m:t>
        </m:r>
      </m:oMath>
      <w:r>
        <w:rPr>
          <w:rFonts w:ascii="Times New Roman" w:hAnsi="Times New Roman" w:eastAsia="宋体"/>
          <w:b w:val="0"/>
        </w:rPr>
        <w:t xml:space="preserve"> 为区间投影。违约率高于目标时，对应模型的后续惩罚增强；低于目标时则减弱。独立对偶变量避免宽松模型的结果掩盖紧 deadline 模型。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 xml:space="preserve">事件动作具有不同持续时间。令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为从事件 </w:t>
      </w:r>
      <m:oMath>
        <m:r>
          <m:t>k</m:t>
        </m:r>
      </m:oMath>
      <w:r>
        <w:rPr>
          <w:rFonts w:ascii="Times New Roman" w:hAnsi="Times New Roman" w:eastAsia="宋体"/>
          <w:b w:val="0"/>
        </w:rPr>
        <w:t xml:space="preserve"> 开始，最先达到预设物理时间窗、最大决策数或 episode 边界的聚合步数，并令 </w:t>
      </w:r>
      <m:oMath>
        <m:sSub>
          <m:e>
            <m:r>
              <m:t>Δ</m:t>
            </m:r>
          </m:e>
          <m:sub>
            <m:r>
              <m:t>k,ℓ</m:t>
            </m:r>
          </m:sub>
        </m:sSub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u=0</m:t>
            </m:r>
          </m:sub>
          <m:sup>
            <m:r>
              <m:t>ℓ−1</m:t>
            </m:r>
          </m:sup>
          <m:e>
            <m:r>
              <m:t>Δ</m:t>
            </m:r>
          </m:e>
        </m:nary>
        <m:sSub>
          <m:e>
            <m:r>
              <m:t>t</m:t>
            </m:r>
          </m:e>
          <m:sub>
            <m:r>
              <m:t>k+u</m:t>
            </m:r>
          </m:sub>
        </m:sSub>
      </m:oMath>
      <w:r>
        <w:rPr>
          <w:rFonts w:ascii="Times New Roman" w:hAnsi="Times New Roman" w:eastAsia="宋体"/>
          <w:b w:val="0"/>
        </w:rPr>
        <w:t>。物理时间 n-step soft target 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ℓ=0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−1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−β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k,ℓ</m:t>
                          </m:r>
                        </m:sub>
                      </m:sSub>
                    </m:sup>
                  </m:sSup>
                </m:e>
              </m:nary>
              <m:sSub>
                <m:e>
                  <m:r>
                    <m:t>r</m:t>
                  </m:r>
                </m:e>
                <m:sub>
                  <m:r>
                    <m:t>k+ℓ</m:t>
                  </m:r>
                </m:sub>
              </m:sSub>
              <m:r>
                <m:t>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―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)=</m:t>
              </m:r>
              <m:sSub>
                <m:e>
                  <m:r>
                    <m:t>min</m:t>
                  </m:r>
                </m:e>
                <m:sub>
                  <m:r>
                    <m:t>j∈{1,2}</m:t>
                  </m:r>
                </m:sub>
              </m:sSub>
              <m:sSub>
                <m:e>
                  <m:r>
                    <m:t>Q</m:t>
                  </m:r>
                </m:e>
                <m:sub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ψ</m:t>
                          </m:r>
                        </m:e>
                      </m:ba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,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)−α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∣</m:t>
              </m:r>
              <m:sSub>
                <m:e>
                  <m:r>
                    <m:t>c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―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r>
                    <m:t>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risk</m:t>
                      </m:r>
                    </m:sup>
                  </m:sSubSup>
                </m:sub>
                <m:sup/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e>
              </m:nary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∣</m:t>
              </m:r>
              <m:sSub>
                <m:e>
                  <m:r>
                    <m:t>c</m:t>
                  </m:r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)</m:t>
              </m:r>
              <m:sSub>
                <m:e>
                  <m:acc>
                    <m:accPr>
                      <m:chr m:val="―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′</m:t>
                  </m:r>
                </m:sup>
              </m:sSup>
              <m:r>
                <m:t>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y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=</m:t>
              </m:r>
              <m:sSubSup>
                <m:e>
                  <m:r>
                    <m:t>R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t>N</m:t>
                      </m:r>
                    </m:e>
                  </m:d>
                </m:sup>
              </m:sSubSup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−β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k,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sup>
              </m:sSup>
              <m:d>
                <m:dPr>
                  <m:sepChr m:val="−"/>
                </m:dPr>
                <m:e>
                  <m:r>
                    <m:t>1</m:t>
                  </m:r>
                </m:e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−1</m:t>
                      </m:r>
                    </m:sub>
                  </m:sSub>
                </m:e>
              </m:d>
              <m:sSub>
                <m:e>
                  <m:acc>
                    <m:accPr>
                      <m:chr m:val="―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(29)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(29) 中，</w:t>
      </w:r>
      <m:oMath>
        <m:sSubSup>
          <m:e>
            <m:r>
              <m:t>R</m:t>
            </m:r>
          </m:e>
          <m:sub>
            <m:r>
              <m:t>k</m:t>
            </m:r>
          </m:sub>
          <m:sup>
            <m:d>
              <m:dPr>
                <m:sepChr m:val=""/>
              </m:dPr>
              <m:e>
                <m:r>
                  <m:t>N</m:t>
                </m:r>
              </m:e>
            </m:d>
          </m:sup>
        </m:sSubSup>
      </m:oMath>
      <w:r>
        <w:rPr>
          <w:rFonts w:ascii="Times New Roman" w:hAnsi="Times New Roman" w:eastAsia="宋体"/>
          <w:b w:val="0"/>
        </w:rPr>
        <w:t xml:space="preserve"> 为按物理时间折扣的 N-step 累计奖励，</w:t>
      </w:r>
      <m:oMath>
        <m:sSub>
          <m:e>
            <m:acc>
              <m:accPr>
                <m:chr m:val="―"/>
              </m:accPr>
              <m:e>
                <m:r>
                  <m:t>Q</m:t>
                </m:r>
              </m:e>
            </m:acc>
          </m:e>
          <m:sub>
            <m:r>
              <m:t>k+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t>(</m:t>
        </m:r>
        <m:sSup>
          <m:e>
            <m:r>
              <m:t>a</m:t>
            </m:r>
          </m:e>
          <m:sup>
            <m:r>
              <m:t>′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</w:rPr>
        <w:t xml:space="preserve"> 为包含策略熵项的保守目标动作价值，</w:t>
      </w:r>
      <m:oMath>
        <m:sSub>
          <m:e>
            <m:acc>
              <m:accPr>
                <m:chr m:val="―"/>
              </m:accPr>
              <m:e>
                <m:r>
                  <m:t>V</m:t>
                </m:r>
              </m:e>
            </m:acc>
          </m:e>
          <m:sub>
            <m:r>
              <m:t>k+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</w:rPr>
        <w:t xml:space="preserve"> 为门控动作集合上的期望后续价值。</w:t>
      </w:r>
      <m:oMath>
        <m:r>
          <m:t>β</m:t>
        </m:r>
      </m:oMath>
      <w:r>
        <w:rPr>
          <w:rFonts w:ascii="Times New Roman" w:hAnsi="Times New Roman" w:eastAsia="宋体"/>
          <w:b w:val="0"/>
        </w:rPr>
        <w:t xml:space="preserve"> 为物理时间折扣率，</w:t>
      </w:r>
      <m:oMath>
        <m:r>
          <m:t>d</m:t>
        </m:r>
      </m:oMath>
      <w:r>
        <w:rPr>
          <w:rFonts w:ascii="Times New Roman" w:hAnsi="Times New Roman" w:eastAsia="宋体"/>
          <w:b w:val="0"/>
        </w:rPr>
        <w:t xml:space="preserve"> 为 episode 终止标记，</w:t>
      </w:r>
      <m:oMath>
        <m:sSub>
          <m:e>
            <m:r>
              <m:t>Q</m:t>
            </m:r>
          </m:e>
          <m:sub>
            <m:sSub>
              <m:e>
                <m:bar>
                  <m:barPr>
                    <m:pos m:val="top"/>
                  </m:barPr>
                  <m:e>
                    <m:r>
                      <m:t>ψ</m:t>
                    </m:r>
                  </m:e>
                </m:bar>
              </m:e>
              <m:sub>
                <m:r>
                  <m:t>j</m:t>
                </m:r>
              </m:sub>
            </m:sSub>
          </m:sub>
        </m:sSub>
      </m:oMath>
      <w:r>
        <w:rPr>
          <w:rFonts w:ascii="Times New Roman" w:hAnsi="Times New Roman" w:eastAsia="宋体"/>
          <w:b w:val="0"/>
        </w:rPr>
        <w:t xml:space="preserve"> 为目标 Critic，</w:t>
      </w:r>
      <m:oMath>
        <m:r>
          <m:t>α</m:t>
        </m:r>
      </m:oMath>
      <w:r>
        <w:rPr>
          <w:rFonts w:ascii="Times New Roman" w:hAnsi="Times New Roman" w:eastAsia="宋体"/>
          <w:b w:val="0"/>
        </w:rPr>
        <w:t xml:space="preserve"> 为熵温度。回报按真实经过时间折扣，而不是假设 WAIT 与不同 batch 动作具有相同持续步长；episode 终止时后续价值被置零。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Twin Critics 通过同一 target 进行均方误差回归：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Q,j</m:t>
                  </m:r>
                </m:sub>
              </m:sSub>
              <m: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rPr>
                      <m:scr m:val="script"/>
                    </m:rPr>
                    <m:t>D</m:t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sSup>
                    <m:e>
                      <m:d>
                        <m:dPr>
                          <m:sepChr m:val=""/>
                        </m:dPr>
                        <m:e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sSub>
                                <m:e>
                                  <m:r>
                                    <m:t>ψ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  <m:r>
                            <m:t>(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t>)</m:t>
                          </m:r>
                          <m:r>
                            <m:t>−</m:t>
                          </m:r>
                          <m:sSubSup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  <m:sup>
                              <m:d>
                                <m:dPr>
                                  <m:sepChr m:val=""/>
                                </m:dPr>
                                <m:e>
                                  <m:r>
                                    <m:t>N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,</m:t>
              </m:r>
              <m:r>
                <m:t>j∈{1,2},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min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,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Q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sepChr m:val="+"/>
                </m:dPr>
                <m:e>
                  <m:sSub>
                    <m:e>
                      <m:r>
                        <m:rPr>
                          <m:scr m:val="script"/>
                        </m:rPr>
                        <m:t>L</m:t>
                      </m:r>
                    </m:e>
                    <m:sub>
                      <m:r>
                        <m:t>Q,1</m:t>
                      </m:r>
                    </m:sub>
                  </m:sSub>
                </m:e>
                <m:e>
                  <m:sSub>
                    <m:e>
                      <m:r>
                        <m:rPr>
                          <m:scr m:val="script"/>
                        </m:rPr>
                        <m:t>L</m:t>
                      </m:r>
                    </m:e>
                    <m:sub>
                      <m:r>
                        <m:t>Q,2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(30)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(30) 中，</w:t>
      </w:r>
      <m:oMath>
        <m:sSub>
          <m:e>
            <m:r>
              <m:rPr>
                <m:scr m:val="script"/>
              </m:rPr>
              <m:t>L</m:t>
            </m:r>
          </m:e>
          <m:sub>
            <m:r>
              <m:t>Q,j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为第 </w:t>
      </w:r>
      <m:oMath>
        <m:r>
          <m:t>j</m:t>
        </m:r>
      </m:oMath>
      <w:r>
        <w:rPr>
          <w:rFonts w:ascii="Times New Roman" w:hAnsi="Times New Roman" w:eastAsia="宋体"/>
          <w:b w:val="0"/>
        </w:rPr>
        <w:t xml:space="preserve"> 个在线 Critic 的 Bellman 均方误差，</w:t>
      </w:r>
      <m:oMath>
        <m:r>
          <m:rPr>
            <m:scr m:val="script"/>
          </m:rPr>
          <m:t>D</m:t>
        </m:r>
      </m:oMath>
      <w:r>
        <w:rPr>
          <w:rFonts w:ascii="Times New Roman" w:hAnsi="Times New Roman" w:eastAsia="宋体"/>
          <w:b w:val="0"/>
        </w:rPr>
        <w:t xml:space="preserve"> 为经验回放分布。回放先按训练场景平衡，再提高高压力和高尾部风险转移的采样比例，同时保留均匀样本以维持整体价值估计。训练还将部分当前尾部代价归因给仍在阻塞相关请求的先前 batch 派发，使早期占用决策获得风险信号。目标 Critic 不参与反向传播，并通过 Polyak 更新缓慢跟随在线 Critic。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Actor 在门控动作集合上采用离散 SAC 的最大熵目标：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67"/>
        <w:gridCol w:w="2767"/>
        <w:gridCol w:w="2767"/>
      </w:tblGrid>
      <w:tr>
        <w:trPr>
          <w:cantSplit/>
        </w:trPr>
        <w:tc>
          <w:tcPr>
            <w:tcW w:type="dxa" w:w="340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/>
        </w:tc>
        <w:tc>
          <w:tcPr>
            <w:tcW w:type="dxa" w:w="776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spacing w:before="0" w:after="0"/>
              <w:ind w:firstLine="0"/>
              <w:jc w:val="center"/>
            </w:pPr>
            <m:oMath>
              <m:sSubSup>
                <m:e>
                  <m:r>
                    <m:t>Q</m:t>
                  </m:r>
                </m:e>
                <m:sub>
                  <m:r>
                    <m:t>k</m:t>
                  </m:r>
                </m:sub>
                <m:sup>
                  <m:r>
                    <m:t>min</m:t>
                  </m:r>
                </m:sup>
              </m:sSubSup>
              <m:r>
                <m:t>(a)=</m:t>
              </m:r>
              <m:sSub>
                <m:e>
                  <m:r>
                    <m:t>min</m:t>
                  </m:r>
                </m:e>
                <m:sub>
                  <m:r>
                    <m:t>j∈{1,2}</m:t>
                  </m:r>
                </m:sub>
              </m:sSub>
              <m:sSub>
                <m:e>
                  <m:r>
                    <m:t>Q</m:t>
                  </m:r>
                </m:e>
                <m:sub>
                  <m:sSub>
                    <m:e>
                      <m:r>
                        <m:t>ψ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  <m: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,a),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π,k</m:t>
                  </m:r>
                </m:sub>
              </m:sSub>
              <m:r>
                <m:t>(a)=α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(a∣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)−</m:t>
              </m:r>
              <m:sSubSup>
                <m:e>
                  <m:r>
                    <m:t>Q</m:t>
                  </m:r>
                </m:e>
                <m:sub>
                  <m:r>
                    <m:t>k</m:t>
                  </m:r>
                </m:sub>
                <m:sup>
                  <m:r>
                    <m:t>min</m:t>
                  </m:r>
                </m:sup>
              </m:sSubSup>
              <m:r>
                <m:t>(a),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J</m:t>
                  </m:r>
                </m:e>
                <m:sub>
                  <m:r>
                    <m:t>π,k</m:t>
                  </m:r>
                </m:sub>
              </m:sSub>
              <m:r>
                <m:t>=</m:t>
              </m:r>
              <m:nary>
                <m:nary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r>
                    <m:t>a∈</m:t>
                  </m:r>
                  <m:sSubSup>
                    <m:e>
                      <m:r>
                        <m:rPr>
                          <m:scr m:val="script"/>
                        </m:rP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risk</m:t>
                      </m:r>
                    </m:sup>
                  </m:sSubSup>
                </m:sub>
                <m:sup/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</m:e>
              </m:nary>
              <m:r>
                <m:t>(a∣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t>)</m:t>
              </m:r>
              <m:sSub>
                <m:e>
                  <m:r>
                    <m:t>g</m:t>
                  </m:r>
                </m:e>
                <m:sub>
                  <m:r>
                    <m:t>π,k</m:t>
                  </m:r>
                </m:sub>
              </m:sSub>
              <m:r>
                <m:t>(a),</m:t>
              </m:r>
            </m:oMath>
          </w:p>
          <w:p>
            <w:pPr>
              <w:spacing w:before="0" w:after="0"/>
              <w:ind w:firstLine="0"/>
              <w:jc w:val="center"/>
            </w:pPr>
            <m:oMath>
              <m:sSub>
                <m:e>
                  <m:r>
                    <m:t>min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cr m:val="script"/>
                    </m:rPr>
                    <m:t>L</m:t>
                  </m:r>
                </m:e>
                <m:sub>
                  <m:r>
                    <m:t>π</m:t>
                  </m:r>
                </m:sub>
              </m:sSub>
              <m: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~</m:t>
                  </m:r>
                  <m:r>
                    <m:rPr>
                      <m:scr m:val="script"/>
                    </m:rPr>
                    <m:t>D</m:t>
                  </m:r>
                </m:sub>
              </m:sSub>
              <m:d>
                <m:dPr>
                  <m:begChr m:val="["/>
                  <m:sepChr m:val=""/>
                  <m:endChr m:val="]"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π,k</m:t>
                      </m:r>
                    </m:sub>
                  </m:sSub>
                </m:e>
              </m:d>
              <m:r>
                <m:t>.</m:t>
              </m:r>
            </m:oMath>
          </w:p>
        </w:tc>
        <w:tc>
          <w:tcPr>
            <w:tcW w:type="dxa" w:w="907"/>
            <w:vAlign w:val="center"/>
            <w:tcMar>
              <w:top w:w="20" w:type="dxa"/>
              <w:bottom w:w="20" w:type="dxa"/>
              <w:start w:w="15" w:type="dxa"/>
              <w:end w:w="15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1"/>
              </w:rPr>
              <w:t>(31)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>式 (31) 中，</w:t>
      </w:r>
      <m:oMath>
        <m:sSubSup>
          <m:e>
            <m:r>
              <m:t>Q</m:t>
            </m:r>
          </m:e>
          <m:sub>
            <m:r>
              <m:t>k</m:t>
            </m:r>
          </m:sub>
          <m:sup>
            <m:r>
              <m:t>min</m:t>
            </m:r>
          </m:sup>
        </m:sSubSup>
        <m:r>
          <m:t>(a)</m:t>
        </m:r>
      </m:oMath>
      <w:r>
        <w:rPr>
          <w:rFonts w:ascii="Times New Roman" w:hAnsi="Times New Roman" w:eastAsia="宋体"/>
          <w:b w:val="0"/>
        </w:rPr>
        <w:t xml:space="preserve"> 为两个在线 Critic 对动作 </w:t>
      </w:r>
      <m:oMath>
        <m:r>
          <m:t>a</m:t>
        </m:r>
      </m:oMath>
      <w:r>
        <w:rPr>
          <w:rFonts w:ascii="Times New Roman" w:hAnsi="Times New Roman" w:eastAsia="宋体"/>
          <w:b w:val="0"/>
        </w:rPr>
        <w:t xml:space="preserve"> 的较小价值预测，</w:t>
      </w:r>
      <m:oMath>
        <m:sSub>
          <m:e>
            <m:r>
              <m:t>g</m:t>
            </m:r>
          </m:e>
          <m:sub>
            <m:r>
              <m:t>π,k</m:t>
            </m:r>
          </m:sub>
        </m:sSub>
        <m:r>
          <m:t>(a)</m:t>
        </m:r>
      </m:oMath>
      <w:r>
        <w:rPr>
          <w:rFonts w:ascii="Times New Roman" w:hAnsi="Times New Roman" w:eastAsia="宋体"/>
          <w:b w:val="0"/>
        </w:rPr>
        <w:t xml:space="preserve"> 为相应的最大熵策略代价，</w:t>
      </w:r>
      <m:oMath>
        <m:sSub>
          <m:e>
            <m:r>
              <m:t>J</m:t>
            </m:r>
          </m:e>
          <m:sub>
            <m:r>
              <m:t>π,k</m:t>
            </m:r>
          </m:sub>
        </m:sSub>
      </m:oMath>
      <w:r>
        <w:rPr>
          <w:rFonts w:ascii="Times New Roman" w:hAnsi="Times New Roman" w:eastAsia="宋体"/>
          <w:b w:val="0"/>
        </w:rPr>
        <w:t xml:space="preserve"> 为当前上下文下的期望策略代价。该目标在训练期兼顾价值改进与策略熵。熵温度依据门控后有效动作数调节，避免因不同状态下可行动作数量变化而产生不一致探索压力。Critic、Actor、熵温度和目标网络的更新共同构成 Algorithm 2。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7"/>
        <w:gridCol w:w="8334"/>
      </w:tblGrid>
      <w:tr>
        <w:trPr>
          <w:cantSplit/>
        </w:trPr>
        <w:tc>
          <w:tcPr>
            <w:tcW w:type="dxa" w:w="8901"/>
            <w:gridSpan w:val="2"/>
            <w:shd w:fill="D9EAF7"/>
            <w:tcMar>
              <w:top w:w="80" w:type="dxa"/>
              <w:bottom w:w="70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20"/>
              </w:rPr>
              <w:t>Algorithm 2: 尾部风险预算 SAC 训练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Input: </w:t>
            </w:r>
            <w:r>
              <w:rPr>
                <w:rFonts w:ascii="Times New Roman" w:hAnsi="Times New Roman" w:eastAsia="宋体"/>
                <w:sz w:val="19"/>
              </w:rPr>
              <w:t>训练场景分布、基准服务特性、物理动作库、SLA 阈值 ε_m 与能耗预算 E_max</w:t>
            </w:r>
          </w:p>
        </w:tc>
      </w:tr>
      <w:tr>
        <w:trPr>
          <w:cantSplit/>
        </w:trPr>
        <w:tc>
          <w:tcPr>
            <w:tcW w:type="dxa" w:w="8901"/>
            <w:gridSpan w:val="2"/>
            <w:tcMar>
              <w:top w:w="35" w:type="dxa"/>
              <w:bottom w:w="35" w:type="dxa"/>
              <w:start w:w="100" w:type="dxa"/>
              <w:end w:w="10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Output: </w:t>
            </w:r>
            <w:r>
              <w:rPr>
                <w:rFonts w:ascii="Times New Roman" w:hAnsi="Times New Roman" w:eastAsia="宋体"/>
                <w:sz w:val="19"/>
              </w:rPr>
              <w:t>训练后的确定性 Actor、GRU 编码器、到达率估计器与完成时间校正器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初始化 Actor、两个在线 Critic 及目标 Critic、经验回放、模型级 SLA 对偶变量和反馈估计器。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在每个 episode 重置环境、EWMA 到达率估计和完成反馈游标；不注入真实负载率、未来请求或隐藏干扰。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在事件 t_k 根据当前可观测状态和历史反馈按式 (18)–(20) 构造上下文。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由第三章式 (5) 构造物理动作集合，并调用 Algorithm 1 得到非空 Risk Gate 动作集合。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训练期从式 (24) 的门控策略采样动作，执行环境并记录持续时间、下一状态、违约计数、请求计数、估计能耗和式 (26) 的尾部风险。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将转移写入物理时间 n-step 累加器；达到时间窗、最大决策数或 episode 边界时，把聚合转移写入按场景、压力和尾部风险组织的 replay buffer。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达到更新条件后采样 replay，按当前 SLA 对偶变量用式 (27) 重构奖励，并用式 (29) 计算 soft target。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按式 (30) 更新两个在线 Critic，按式 (31) 更新 Actor 与熵温度，再对目标 Critic 执行 Polyak 软更新。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9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episode 结束并排空到达 cohort 后，计算各 DNN 的违约率并按式 (28) 更新模型级对偶变量。</w:t>
            </w:r>
          </w:p>
        </w:tc>
      </w:tr>
      <w:tr>
        <w:trPr>
          <w:cantSplit/>
        </w:trPr>
        <w:tc>
          <w:tcPr>
            <w:tcW w:type="dxa" w:w="567"/>
            <w:tcMar>
              <w:top w:w="25" w:type="dxa"/>
              <w:bottom w:w="25" w:type="dxa"/>
              <w:start w:w="60" w:type="dxa"/>
              <w:end w:w="30" w:type="dxa"/>
            </w:tcMar>
            <w:tcBorders>
              <w:bottom w:val="single" w:sz="8" w:color="4F6475"/>
            </w:tcBorders>
          </w:tcPr>
          <w:p>
            <w:pPr>
              <w:pStyle w:val="AlgorithmBody"/>
              <w:jc w:val="right"/>
            </w:pPr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8334"/>
            <w:tcMar>
              <w:top w:w="25" w:type="dxa"/>
              <w:bottom w:w="25" w:type="dxa"/>
              <w:start w:w="30" w:type="dxa"/>
              <w:end w:w="80" w:type="dxa"/>
            </w:tcMar>
            <w:tcBorders>
              <w:bottom w:val="single" w:sz="8" w:color="4F6475"/>
            </w:tcBorders>
          </w:tcPr>
          <w:p>
            <w:pPr>
              <w:pStyle w:val="AlgorithmBody"/>
            </w:pPr>
            <w:r>
              <w:rPr>
                <w:rFonts w:ascii="Times New Roman" w:hAnsi="Times New Roman" w:eastAsia="宋体"/>
                <w:sz w:val="19"/>
              </w:rPr>
              <w:t>重复上述过程直至训练结束，保存一个冻结策略检查点用于所有后续评估。</w:t>
            </w:r>
          </w:p>
        </w:tc>
      </w:tr>
    </w:tbl>
    <w:p>
      <w:pPr>
        <w:pStyle w:val="4"/>
        <w:keepNext/>
        <w:ind w:firstLine="0"/>
      </w:pPr>
      <w:r>
        <w:t>4.6 部署路径与计算复杂度</w:t>
      </w:r>
    </w:p>
    <w:p>
      <w:pPr>
        <w:ind w:firstLine="420"/>
        <w:jc w:val="both"/>
      </w:pPr>
      <w:r>
        <w:rPr>
          <w:rFonts w:ascii="Times New Roman" w:hAnsi="Times New Roman" w:eastAsia="宋体"/>
        </w:rPr>
        <w:t>部署时移除 Twin Critics、经验回放、梯度更新和 SLA 对偶更新。系统仅保留已揭示到达率 EWMA、完成时间校正器、GRU 历史编码器、Risk Gate 和一次确定性 Actor 前向计算。每个事件先构造物理与风险动作集合，再对所有保留动作进行一次向量化评分并选择概率最大的动作；不执行环境内候选搜索，不读取未来请求、真实负载率、场景标签或隐藏干扰变量。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</w:rPr>
        <w:t xml:space="preserve">设当前物理动作数为 </w:t>
      </w:r>
      <m:oMath>
        <m:d>
          <m:dPr>
            <m:begChr m:val="|"/>
            <m:sepChr m:val=""/>
            <m:endChr m:val="|"/>
          </m:dPr>
          <m:e>
            <m:sSubSup>
              <m:e>
                <m:r>
                  <m:rPr>
                    <m:scr m:val="script"/>
                  </m:rPr>
                  <m:t>A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phy</m:t>
                </m:r>
              </m:sup>
            </m:sSubSup>
          </m:e>
        </m:d>
      </m:oMath>
      <w:r>
        <w:rPr>
          <w:rFonts w:ascii="Times New Roman" w:hAnsi="Times New Roman" w:eastAsia="宋体"/>
          <w:b w:val="0"/>
        </w:rPr>
        <w:t xml:space="preserve">，历史窗口长度为 </w:t>
      </w:r>
      <m:oMath>
        <m:r>
          <m:t>H</m:t>
        </m:r>
      </m:oMath>
      <w:r>
        <w:rPr>
          <w:rFonts w:ascii="Times New Roman" w:hAnsi="Times New Roman" w:eastAsia="宋体"/>
          <w:b w:val="0"/>
        </w:rPr>
        <w:t xml:space="preserve">，且隐层宽度固定。到达统计和历史编码的开销分别随 DNN 数量与 </w:t>
      </w:r>
      <m:oMath>
        <m:r>
          <m:t>H</m:t>
        </m:r>
      </m:oMath>
      <w:r>
        <w:rPr>
          <w:rFonts w:ascii="Times New Roman" w:hAnsi="Times New Roman" w:eastAsia="宋体"/>
          <w:b w:val="0"/>
        </w:rPr>
        <w:t xml:space="preserve"> 线性增长；完成时间估计、Risk Gate 和动作评分均至多对有限动作库扫描一次，因此单事件决策复杂度关于 </w:t>
      </w:r>
      <m:oMath>
        <m:d>
          <m:dPr>
            <m:begChr m:val="|"/>
            <m:sepChr m:val=""/>
            <m:endChr m:val="|"/>
          </m:dPr>
          <m:e>
            <m:sSubSup>
              <m:e>
                <m:r>
                  <m:rPr>
                    <m:scr m:val="script"/>
                  </m:rPr>
                  <m:t>A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phy</m:t>
                </m:r>
              </m:sup>
            </m:sSubSup>
          </m:e>
        </m:d>
      </m:oMath>
      <w:r>
        <w:rPr>
          <w:rFonts w:ascii="Times New Roman" w:hAnsi="Times New Roman" w:eastAsia="宋体"/>
          <w:b w:val="0"/>
        </w:rPr>
        <w:t xml:space="preserve"> 为线性量级。动作语义编码和局部状态提取可预计算或向量化，不引入多候选 rollout 或在线组合搜索。</w:t>
      </w:r>
    </w:p>
    <w:sectPr>
      <w:headerReference r:id="rId5" w:type="default"/>
      <w:footerReference r:id="rId6" w:type="default"/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A4BFE">
    <w:pPr>
      <w:pStyle w:val="24"/>
      <w:jc w:val="right"/>
    </w:pPr>
    <w:r>
      <w:rPr>
        <w:rFonts w:ascii="Calibri" w:hAnsi="Calibri" w:eastAsia="宋体" w:cs="Calibri"/>
        <w:color w:val="6B7280"/>
        <w:sz w:val="18"/>
      </w:rPr>
      <w:fldChar w:fldCharType="begin"/>
    </w:r>
    <w:r>
      <w:rPr>
        <w:rFonts w:ascii="Calibri" w:hAnsi="Calibri" w:eastAsia="宋体" w:cs="Calibri"/>
        <w:color w:val="6B7280"/>
        <w:sz w:val="18"/>
      </w:rPr>
      <w:instrText xml:space="preserve"> PAGE </w:instrText>
    </w:r>
    <w:r>
      <w:rPr>
        <w:rFonts w:ascii="Calibri" w:hAnsi="Calibri" w:eastAsia="宋体" w:cs="Calibri"/>
        <w:color w:val="6B7280"/>
        <w:sz w:val="18"/>
      </w:rPr>
      <w:fldChar w:fldCharType="separate"/>
    </w:r>
    <w:r>
      <w:rPr>
        <w:rFonts w:ascii="Calibri" w:hAnsi="Calibri" w:eastAsia="宋体" w:cs="Calibri"/>
        <w:color w:val="6B7280"/>
        <w:sz w:val="18"/>
      </w:rPr>
      <w:t>1</w:t>
    </w:r>
    <w:r>
      <w:rPr>
        <w:rFonts w:ascii="Calibri" w:hAnsi="Calibri" w:eastAsia="宋体" w:cs="Calibri"/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4C478">
    <w:pPr>
      <w:pStyle w:val="25"/>
      <w:ind w:firstLine="0"/>
      <w:jc w:val="center"/>
    </w:pPr>
    <w:r>
      <w:rPr>
        <w:rFonts w:ascii="Times New Roman" w:hAnsi="Times New Roman" w:eastAsia="宋体"/>
        <w:color w:val="7F7F7F"/>
        <w:sz w:val="15"/>
      </w:rPr>
      <w:t>中文论文初稿 · Method v9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27BEF"/>
    <w:rsid w:val="00FC693F"/>
    <w:rsid w:val="04012802"/>
    <w:rsid w:val="05972365"/>
    <w:rsid w:val="07DA17B4"/>
    <w:rsid w:val="08D962ED"/>
    <w:rsid w:val="08E37A2F"/>
    <w:rsid w:val="0E510C97"/>
    <w:rsid w:val="0E533CE4"/>
    <w:rsid w:val="0E62280C"/>
    <w:rsid w:val="114C66F9"/>
    <w:rsid w:val="11A51171"/>
    <w:rsid w:val="153656F6"/>
    <w:rsid w:val="195F7277"/>
    <w:rsid w:val="1E002D45"/>
    <w:rsid w:val="1E4F15D7"/>
    <w:rsid w:val="205C7725"/>
    <w:rsid w:val="223C67F4"/>
    <w:rsid w:val="2523045B"/>
    <w:rsid w:val="25900EC9"/>
    <w:rsid w:val="26FE73E2"/>
    <w:rsid w:val="2AB4113F"/>
    <w:rsid w:val="2C6170A5"/>
    <w:rsid w:val="2CDC30FB"/>
    <w:rsid w:val="2D0D13E0"/>
    <w:rsid w:val="30664F2C"/>
    <w:rsid w:val="3B483C92"/>
    <w:rsid w:val="3BDB4052"/>
    <w:rsid w:val="3C1165F2"/>
    <w:rsid w:val="3EB50143"/>
    <w:rsid w:val="3EBD1070"/>
    <w:rsid w:val="481B05F8"/>
    <w:rsid w:val="4961028C"/>
    <w:rsid w:val="4AAF1765"/>
    <w:rsid w:val="4B422F21"/>
    <w:rsid w:val="4DD54DA5"/>
    <w:rsid w:val="4E9B3DFF"/>
    <w:rsid w:val="542660E9"/>
    <w:rsid w:val="54B12F7D"/>
    <w:rsid w:val="5D323FC2"/>
    <w:rsid w:val="671F5543"/>
    <w:rsid w:val="68DE68A8"/>
    <w:rsid w:val="6A8108A4"/>
    <w:rsid w:val="6C87361A"/>
    <w:rsid w:val="6F9C4EC1"/>
    <w:rsid w:val="746D7166"/>
    <w:rsid w:val="77CA3CBD"/>
    <w:rsid w:val="7820118F"/>
    <w:rsid w:val="792C4DA7"/>
    <w:rsid w:val="7D3A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  <w:jc w:val="both"/>
    </w:pPr>
    <w:rPr>
      <w:rFonts w:ascii="Times New Roman" w:hAnsi="Times New Roman" w:eastAsia="宋体" w:cs="Calibr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0" w:after="80"/>
      <w:ind w:firstLine="0"/>
      <w:outlineLvl w:val="0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pageBreakBefore w:val="0"/>
      <w:spacing w:before="160" w:after="80"/>
      <w:ind w:firstLine="0"/>
      <w:outlineLvl w:val="1"/>
    </w:pPr>
    <w:rPr>
      <w:rFonts w:asciiTheme="majorHAnsi" w:hAnsiTheme="majorHAnsi" w:eastAsiaTheme="majorEastAsia" w:cstheme="majorBidi" w:ascii="Arial" w:hAnsi="Arial" w:eastAsia="黑体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before="30" w:after="30" w:line="360" w:lineRule="auto"/>
      <w:contextualSpacing/>
      <w:jc w:val="both"/>
    </w:pPr>
    <w:rPr>
      <w:rFonts w:ascii="Times New Roman" w:hAnsi="Times New Roman" w:eastAsia="宋体"/>
      <w:sz w:val="21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Editorial Note"/>
    <w:qFormat/>
    <w:uiPriority w:val="0"/>
    <w:pPr>
      <w:spacing w:before="60" w:after="120" w:line="276" w:lineRule="auto"/>
      <w:ind w:left="198" w:right="198"/>
    </w:pPr>
    <w:rPr>
      <w:rFonts w:ascii="Times New Roman" w:hAnsi="Times New Roman" w:eastAsia="宋体" w:cs="Times New Roman"/>
      <w:color w:val="5A5A5A"/>
      <w:sz w:val="18"/>
    </w:rPr>
  </w:style>
  <w:style w:type="paragraph" w:customStyle="1" w:styleId="AlgorithmBody">
    <w:name w:val="Algorithm Body"/>
    <w:pPr>
      <w:spacing w:line="276" w:lineRule="auto" w:before="0" w:after="0"/>
      <w:ind w:firstLine="0"/>
    </w:pPr>
    <w:rPr>
      <w:rFonts w:ascii="Times New Roman" w:hAnsi="Times New Roman" w:eastAsia="宋体"/>
      <w:sz w:val="19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4222</Words>
  <Characters>5073</Characters>
  <Lines>0</Lines>
  <Paragraphs>0</Paragraphs>
  <TotalTime>56</TotalTime>
  <ScaleCrop>false</ScaleCrop>
  <LinksUpToDate>false</LinksUpToDate>
  <CharactersWithSpaces>5433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陈亮</dc:creator>
  <dc:description>generated by python-docx</dc:description>
  <cp:keywords>system model, online multi-DNN inference, batching, SLA, tail latency</cp:keywords>
  <cp:lastModifiedBy>.</cp:lastModifiedBy>
  <dcterms:modified xsi:type="dcterms:W3CDTF">2026-07-28T14:02:28Z</dcterms:modified>
  <dc:subject>多 DNN 边缘推理的风险预算在线调度方法</dc:subject>
  <dc:title>IV. RiskBudget Methodology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eyJoZGlkIjoiNzI3MjRmMzdhYzgzOWJhMzBiY2VlNjM5ZjIwMTQ4ZWUiLCJ1c2VySWQiOiI0OTU0MzUwNTEifQ==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7E11E7B19C9F4F069189DB281AD15981_12</vt:lpwstr>
  </property>
</Properties>
</file>