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84F46">
      <w:pPr>
        <w:pStyle w:val="3"/>
        <w:keepNext/>
        <w:spacing w:before="0"/>
        <w:ind w:firstLine="0"/>
      </w:pPr>
      <w:r>
        <w:t>1 引言</w:t>
      </w:r>
    </w:p>
    <w:p w14:paraId="5CDD1413">
      <w:pPr>
        <w:keepLines w:val="0"/>
        <w:widowControl/>
        <w:spacing w:line="360" w:lineRule="auto" w:before="0" w:after="0"/>
        <w:ind w:firstLine="420"/>
        <w:jc w:val="both"/>
      </w:pPr>
      <w:r>
        <w:t>物联网终端、移动感知设备和实时交互应用不断普及，由此产生的数据规模以及对处理时效的要求快速增长。传统云计算依赖远程数据中心集中处理任务，虽然能够提供充足算力，但数据需要通过广域网络传输，系统响应容易受到链路时延、带宽波动和上行传输开销的影响。边缘计算因此成为支撑物联网和实时智能应用的重要计算范式。它将计算、存储和服务能力下沉至靠近数据源和用户的网络边缘，使数据能够在本地或邻近节点及时处理，从而降低对远程云端的依赖。目前，边缘计算已成为智慧交通、现场视频分析、工业感知和移动智能服务的重要基础 [1], [3], [7]。</w:t>
      </w:r>
    </w:p>
    <w:p w14:paraId="665CBD56">
      <w:pPr>
        <w:keepLines w:val="0"/>
        <w:widowControl/>
        <w:spacing w:line="360" w:lineRule="auto" w:before="0" w:after="0"/>
        <w:ind w:firstLine="420"/>
        <w:jc w:val="both"/>
        <w:rPr>
          <w:rFonts w:ascii="Calibri" w:hAnsi="Calibri" w:eastAsia="宋体" w:cs="Calibri"/>
          <w:b w:val="0"/>
          <w:sz w:val="22"/>
        </w:rPr>
      </w:pPr>
      <w:r>
        <w:t>在这一背景下，深度神经网络（Deep Neural Network, DNN）推理服务正由云端向边缘侧延伸，形成面向实时感知与决策的边缘智能服务。例如，自动驾驶车辆需要及时完成目标、车道线和交通标志识别；增强现实系统需要持续分析用户动作和周围场景；移动机器人则需要依据视觉推理结果更新控制决策。这些应用通常具有明确的响应时限。一旦推理结果返回过晚，即使结果准确，也可能失去实际价值 [2]–[4]。因此，边缘智能系统不仅需要完成推理，还需要在有限资源条件下持续满足请求级时效要求。</w:t>
      </w:r>
    </w:p>
    <w:p w14:paraId="51ADD2B0">
      <w:pPr>
        <w:keepLines w:val="0"/>
        <w:widowControl/>
        <w:spacing w:line="360" w:lineRule="auto" w:before="0" w:after="0"/>
        <w:ind w:firstLineChars="200" w:firstLine="420"/>
        <w:jc w:val="both"/>
      </w:pPr>
      <w:r>
        <w:t>在实际边缘推理系统中，边缘服务器通常需要同时运行多个模型并处理多种类型的请求。例如，视觉分析和智能感知服务往往同时维护多个 DNN，不同类型的请求具有不同的计算开销、到达过程和服务级目标（Service-Level Objective, SLO）。本文以请求级截止期限（deadline）刻画 SLO；若请求在 deadline 之后完成，则记为一次服务级协议（Service-Level Agreement, SLA）违约。边缘侧计算资源同样具有异构性。例如，高吞吐 GPU 与低功耗片上系统（system-on-chip, SoC）在计算能力、能耗和 batch 扩展效率方面存在明显差异，不存在某台设备对所有 DNN 和所有 batch size 始终占优。因此，多模型共置、异构处理器协同和面向 SLO 的资源管理已成为边缘推理平台亟待解决的问题 [4]–[7]。</w:t>
      </w:r>
    </w:p>
    <w:p w14:paraId="614AA382">
      <w:pPr>
        <w:keepLines w:val="0"/>
        <w:widowControl/>
        <w:spacing w:line="360" w:lineRule="auto" w:before="0" w:after="0"/>
        <w:ind w:firstLine="420"/>
        <w:jc w:val="both"/>
      </w:pPr>
      <w:r>
        <w:t>动态组批进一步增加了调度难度。将同一 DNN 的多个请求组成较大批次，可以提高硬件并行度并分摊单请求执行开销；但调度器需要等待足够多的请求到达，组批等待会直接消耗请求的 deadline 余量。立即派发小批次能够缩短等待时间，却可能降低吞吐量、增加调度频次，并加剧并发竞争。因此，在线调度器不能只决定“哪个请求先执行”，还需要联合决定选择哪个 DNN 队列、路由至哪台设备、采用多大的 batch size，以及当前是否继续等待。每项决策都会改变后续队列状态，并最终影响请求级 SLA 违约率和尾部时延。BCEdge 与 Coinf 已表明，自适应 batching、并发控制和学习型调度能够改善边缘推理的吞吐与响应性能 [5], [8]；近期的 deadline-aware 多 DNN 服务研究也开始关注单次调度决策对所有队列尾部时延的整体影响 [9]。</w:t>
      </w:r>
    </w:p>
    <w:p w14:paraId="7307CA70">
      <w:pPr>
        <w:keepLines w:val="0"/>
        <w:widowControl/>
        <w:spacing w:line="360" w:lineRule="auto" w:before="0" w:after="0"/>
        <w:ind w:firstLine="420"/>
        <w:jc w:val="both"/>
        <w:rPr>
          <w:rFonts w:ascii="Calibri" w:hAnsi="Calibri" w:eastAsia="宋体" w:cs="Calibri"/>
          <w:b w:val="0"/>
          <w:sz w:val="22"/>
        </w:rPr>
      </w:pPr>
      <w:r>
        <w:t>在实际部署中，边缘推理系统需要持续处理动态到达的请求。调度器必须根据当前队列和设备状态，在线决定处理哪类 DNN 请求、选择哪台设备以及采用多大的 batch。此类在线决策的难点在于，请求负载和设备服务能力都可能随时间变化。请求数量可能在短时间内快速波动，不同 DNN 请求的占比也会随应用场景改变。仅以长期平均到达率描述负载，会掩盖这些短时变化，因而难以及时反映各模型的实际处理压力。相关研究也观察到了生产推理负载的亚秒级波动，以及边缘视频分析中由场景变化引起的模型需求变化 [3], [10]。与此同时，多个 DNN 在同一设备上共置执行时，会竞争计算单元、显存带宽和缓存等资源。不同 DNN 组合及 batch size 可能产生不同程度的运行时干扰，从而改变批次执行时延和设备服务能力 [2], [11]。因此，在线调度器需要综合利用当前队列、设备状态和历史执行反馈，及时调整 DNN、执行设备与 batch size 的联合决策。</w:t>
      </w:r>
    </w:p>
    <w:p w14:paraId="006DA422">
      <w:pPr>
        <w:keepLines w:val="0"/>
        <w:widowControl/>
        <w:spacing w:line="360" w:lineRule="auto" w:before="0" w:after="0"/>
        <w:ind w:firstLine="420"/>
        <w:jc w:val="both"/>
        <w:rPr>
          <w:rFonts w:ascii="Calibri" w:hAnsi="Calibri" w:eastAsia="宋体" w:cs="Calibri"/>
          <w:b w:val="0"/>
          <w:sz w:val="22"/>
        </w:rPr>
      </w:pPr>
      <w:r>
        <w:t>现有研究为解决上述问题提供了多条技术路线。Spatharakis 等 [1] 面向边缘辅助推理，联合优化无线卸载、输入压缩和 GPU batching，从通信与计算两侧刻画准确率与端到端时延的权衡；BCEdge [5] 联合调节 batch size 与并发实例数，以满足多 DNN 请求的 SLO；OctopInf [3] 在动态边缘视频分析中结合跨设备负载分配、动态 batching 与共置调度；Miriam、EMERALD 和 BlastNet 分别从 GPU 内核协调、异构 MPSoC 弹性执行及 CPU–GPU 协同等角度改善时敏多 DNN 推理 [2], [4], [6]。Coinf [8] 进一步结合性能预测和深度强化学习，根据运行状态执行 QoS 感知的 batching。这些工作分别关注了通信开销、批处理、异构执行、共置干扰或动态负载，但较少有工作在同一框架中同时考虑本文关注的组合场景：在多个异构边缘设备之间联合执行请求路由、组批与等待，仅依赖部署时可观测的到达和完成反馈适应非平稳负载与运行时性能变化，并在预设能耗预算内控制请求级 SLA 违约和尾部时延。</w:t>
      </w:r>
    </w:p>
    <w:p w14:paraId="168DB7DB">
      <w:pPr>
        <w:keepLines w:val="0"/>
        <w:widowControl/>
        <w:spacing w:line="360" w:lineRule="auto" w:before="0" w:after="0"/>
        <w:ind w:firstLine="420"/>
        <w:jc w:val="both"/>
        <w:rPr>
          <w:rFonts w:ascii="Calibri" w:hAnsi="Calibri" w:eastAsia="宋体" w:cs="Calibri"/>
          <w:b w:val="0"/>
          <w:kern w:val="0"/>
          <w:sz w:val="22"/>
          <w:szCs w:val="22"/>
          <w:lang w:val="en-US" w:eastAsia="en-US" w:bidi="ar-SA"/>
        </w:rPr>
      </w:pPr>
      <w:r>
        <w:t>本文聚焦于实时多 DNN 边缘推理服务，典型应用包括移动视觉分析、智能交通、增强现实和移动机器人等。在这些场景中，请求持续进入边缘推理系统，每个请求的 DNN 类型和服务时限由应用确定。系统按照 DNN 类型维护多个请求队列，并由一个集中式调度器统一管理多个边缘计算设备。本文不改变请求所使用的 DNN，也不涉及模型选择或推理精度调整，而是重点研究服务侧的在线调度问题。</w:t>
      </w:r>
    </w:p>
    <w:p w14:paraId="7996D53E">
      <w:pPr>
        <w:keepNext w:val="0"/>
        <w:keepLines w:val="0"/>
        <w:widowControl/>
        <w:suppressLineNumbers w:val="0"/>
        <w:spacing w:line="360" w:lineRule="auto" w:before="0" w:after="0"/>
        <w:ind w:firstLineChars="200" w:firstLine="420"/>
        <w:jc w:val="both"/>
        <w:rPr>
          <w:rFonts w:ascii="Calibri" w:hAnsi="Calibri" w:eastAsia="宋体" w:cs="Calibri"/>
          <w:b w:val="0"/>
          <w:kern w:val="0"/>
          <w:sz w:val="22"/>
          <w:szCs w:val="22"/>
          <w:lang w:val="en-US" w:eastAsia="en-US" w:bidi="ar-SA"/>
        </w:rPr>
      </w:pPr>
      <w:r>
        <w:t>在每个调度时刻，系统需要决定处理哪个 DNN 队列、在哪台设备上执行、采用多大的 batch，以及是否暂时等待更多请求。批处理可以分摊批次调度与执行开销，从而提高资源利用率和推理吞吐量 [5], [8]。但是，等待组批会增加请求排队时间，过大的 batch 也可能延长单次执行时间。与此同时，不同 DNN 在不同设备和 batch size 下具有不同的时延与能耗特征 [5], [6], [8]。当多个 DNN 共置执行时，资源竞争还可能进一步改变设备的实际服务能力 [11]。因此，DNN 队列选择、设备路由、batch size 和等待决策之间存在紧密耦合，单独优化其中任一环节都难以充分反映整体调度效果。</w:t>
      </w:r>
    </w:p>
    <w:p w14:paraId="55817605">
      <w:pPr>
        <w:keepNext w:val="0"/>
        <w:keepLines w:val="0"/>
        <w:widowControl/>
        <w:suppressLineNumbers w:val="0"/>
        <w:spacing w:line="360" w:lineRule="auto" w:before="0" w:after="0"/>
        <w:ind w:firstLine="420"/>
        <w:jc w:val="both"/>
        <w:rPr>
          <w:rFonts w:ascii="Calibri" w:hAnsi="Calibri" w:eastAsia="宋体" w:cs="Calibri"/>
          <w:b w:val="0"/>
          <w:kern w:val="0"/>
          <w:sz w:val="22"/>
          <w:szCs w:val="22"/>
          <w:lang w:val="en-US" w:eastAsia="en-US" w:bidi="ar-SA"/>
        </w:rPr>
      </w:pPr>
      <w:r>
        <w:t>在线调度进一步增加了这一问题的难度。调度器无法预先获知未来请求，只能根据当前队列、设备状态和已经完成批次的执行反馈作出决策。为此，本文提出一种历史感知、动作语义对齐的在线调度方法。该方法利用近期执行反馈描述运行状态变化，并在预设单位请求能耗预算下，联合控制请求级 SLA 违约风险和尾部时延。</w:t>
      </w:r>
    </w:p>
    <w:p w14:paraId="4F19A878">
      <w:pPr>
        <w:keepNext w:val="0"/>
        <w:keepLines w:val="0"/>
        <w:widowControl/>
        <w:suppressLineNumbers w:val="0"/>
        <w:spacing w:line="360" w:lineRule="auto" w:before="0" w:after="0"/>
        <w:ind w:firstLine="420"/>
        <w:jc w:val="both"/>
      </w:pPr>
      <w:r>
        <w:t>总体而言，本文面向动态多 DNN 边缘推理服务，研究请求路由、动态组批与执行设备选择的在线联合调度问题。本文的目标是在给定的能耗预算下，降低请求级 SLA 违约率和尾部时延。主要贡献如下：</w:t>
      </w:r>
    </w:p>
    <w:p>
      <w:pPr>
        <w:pStyle w:val="16"/>
        <w:keepLines/>
        <w:jc w:val="both"/>
      </w:pPr>
      <w:r>
        <w:rPr>
          <w:b/>
        </w:rPr>
        <w:t>构建面向在线多 DNN 推理的联合调度模型。</w:t>
      </w:r>
      <w:r>
        <w:t>本文将异构边缘推理建模为事件驱动的部分可观测决策问题。调度器根据当前可观测状态，联合选择待处理的 DNN 队列、执行设备、batch size 或 WAIT 动作。该模型同时考虑模型级 deadline、设备并发能力、动态请求负载、运行时干扰和单位请求能耗预算，从而统一描述请求等待、动态组批和设备执行之间的耦合关系。</w:t>
      </w:r>
    </w:p>
    <w:p>
      <w:pPr>
        <w:pStyle w:val="16"/>
        <w:keepLines/>
        <w:jc w:val="both"/>
      </w:pPr>
      <w:r>
        <w:rPr>
          <w:b/>
        </w:rPr>
        <w:t>提出历史感知且动作语义对齐的离散 SAC 调度框架。</w:t>
      </w:r>
      <w:r>
        <w:t>与将所有调度动作视为独立编号的扁平策略不同，本文显式编码每个“DNN–设备–batch”动作的语义，以及与该动作相关的局部队列和设备状态。Actor 与双 Critic 网络据此评价不同的联合动作。与此同时，GRU 对近期已完成批次的执行反馈进行编码，使策略能够根据运行状态的变化及时调整调度决策。</w:t>
      </w:r>
    </w:p>
    <w:p>
      <w:pPr>
        <w:pStyle w:val="16"/>
        <w:keepLines/>
        <w:jc w:val="both"/>
      </w:pPr>
      <w:r>
        <w:rPr>
          <w:b/>
        </w:rPr>
        <w:t>设计因果反馈驱动的风险预算控制机制。</w:t>
      </w:r>
      <w:r>
        <w:t>调度器仅使用已经到达的请求估计各 DNN 的在线负载，不读取未来请求、真实负载率或隐藏干扰参数。在此基础上，本文根据队列压力和 deadline 紧迫度选择性限制高风险动作，并将模型级 SLA 对偶变量、能耗预算惩罚、物理时间尺度的尾部风险代价和尾部样本增强训练整合到统一的学习过程中，使策略在控制能耗开销的同时重点降低违约风险和长尾时延。</w:t>
      </w:r>
    </w:p>
    <w:p>
      <w:pPr>
        <w:pStyle w:val="16"/>
        <w:keepLines/>
        <w:jc w:val="both"/>
      </w:pPr>
      <w:r>
        <w:rPr>
          <w:b/>
        </w:rPr>
        <w:t>通过建模与仿真验证所提方法的有效性。</w:t>
      </w:r>
      <w:r>
        <w:t>本文将所提方法与多种代表性调度方法进行比较，并通过消融实验和敏感性分析验证各模块的作用及方法的适应性。按各评估条件等权平均后，相较于对应的最强基线，本文方法在静态和动态场景中将 SLA 违约率分别平均降低约 18.3% 和 9.35%，并将 p99 时延分别平均降低约 32.2% 和 34.6%，同时将单位请求能耗控制在预设预算内。</w:t>
      </w:r>
    </w:p>
    <w:p w14:paraId="63E06099">
      <w:pPr>
        <w:pStyle w:val="4"/>
        <w:pageBreakBefore w:val="0"/>
      </w:pPr>
      <w:r>
        <w:t>参考文献</w:t>
      </w:r>
    </w:p>
    <w:p>
      <w:pPr>
        <w:keepLines/>
        <w:spacing w:line="276" w:lineRule="auto" w:before="0" w:after="40"/>
        <w:ind w:left="420" w:hanging="420"/>
        <w:jc w:val="left"/>
      </w:pPr>
      <w:r>
        <w:rPr>
          <w:rFonts w:ascii="Times New Roman" w:hAnsi="Times New Roman" w:eastAsia="Times New Roman"/>
          <w:sz w:val="18"/>
        </w:rPr>
        <w:t>[1] D. Spatharakis, C. Pelekis, D. Dechouniotis, and S. Papavasileiou, “A task offloading and batch scheduling framework for edge-assisted inference,” Future Gener. Comput. Syst., vol. 175, Art. no. 108030, 2026, doi: 10.1016/j.future.2025.108030.</w:t>
      </w:r>
    </w:p>
    <w:p>
      <w:pPr>
        <w:keepLines/>
        <w:spacing w:line="276" w:lineRule="auto" w:before="0" w:after="40"/>
        <w:ind w:left="420" w:hanging="420"/>
        <w:jc w:val="left"/>
      </w:pPr>
      <w:r>
        <w:rPr>
          <w:rFonts w:ascii="Times New Roman" w:hAnsi="Times New Roman" w:eastAsia="Times New Roman"/>
          <w:sz w:val="18"/>
        </w:rPr>
        <w:t>[2] Z. Zhao, N. Ling, N. Guan, and G. Xing, “Miriam: Exploiting elastic kernels for real-time multi-DNN inference on edge GPU,” in Proc. 21st ACM Conf. Embedded Networked Sensor Syst. (SenSys), 2023, pp. 97–110, doi: 10.1145/3625687.3625789.</w:t>
      </w:r>
    </w:p>
    <w:p>
      <w:pPr>
        <w:keepLines/>
        <w:spacing w:line="276" w:lineRule="auto" w:before="0" w:after="40"/>
        <w:ind w:left="420" w:hanging="420"/>
        <w:jc w:val="left"/>
      </w:pPr>
      <w:r>
        <w:rPr>
          <w:rFonts w:ascii="Times New Roman" w:hAnsi="Times New Roman" w:eastAsia="Times New Roman"/>
          <w:sz w:val="18"/>
        </w:rPr>
        <w:t>[3] T.-T. Nguyen, L. Liebe, N.-Q. Tau, Y. Wu, J. Cheng, and D. Lee, “OctopInf: Workload-aware inference serving for edge video analytics,” in Proc. IEEE Int. Conf. Pervasive Comput. Commun. (PerCom), 2025, pp. 128–137, doi: 10.1109/PerCom64205.2025.00032.</w:t>
      </w:r>
    </w:p>
    <w:p>
      <w:pPr>
        <w:keepLines/>
        <w:spacing w:line="276" w:lineRule="auto" w:before="0" w:after="40"/>
        <w:ind w:left="420" w:hanging="420"/>
        <w:jc w:val="left"/>
      </w:pPr>
      <w:r>
        <w:rPr>
          <w:rFonts w:ascii="Times New Roman" w:hAnsi="Times New Roman" w:eastAsia="Times New Roman"/>
          <w:sz w:val="18"/>
        </w:rPr>
        <w:t>[4] N. Ling, W. Lu, X. Huang, Z. Zhao, N. Guan, Z. Yan, and G. Xing, “Time-sensitive multi-DNN inference on CPU-GPU edge platforms,” IEEE Trans. Mobile Comput., vol. 25, no. 5, pp. 6168–6184, May 2026, doi: 10.1109/TMC.2025.3636950.</w:t>
      </w:r>
    </w:p>
    <w:p>
      <w:pPr>
        <w:keepLines/>
        <w:spacing w:line="276" w:lineRule="auto" w:before="0" w:after="40"/>
        <w:ind w:left="420" w:hanging="420"/>
        <w:jc w:val="left"/>
      </w:pPr>
      <w:r>
        <w:rPr>
          <w:rFonts w:ascii="Times New Roman" w:hAnsi="Times New Roman" w:eastAsia="Times New Roman"/>
          <w:sz w:val="18"/>
        </w:rPr>
        <w:t>[5] Z. Zhang, Y. Zhao, H. Li, and J. Liu, “BCEdge: SLO-aware DNN inference services with adaptive batch-concurrent scheduling on edge devices,” IEEE Trans. Netw. Service Manag., vol. 21, no. 4, pp. 4131–4145, 2024, doi: 10.1109/TNSM.2024.3409701.</w:t>
      </w:r>
    </w:p>
    <w:p>
      <w:pPr>
        <w:keepLines/>
        <w:spacing w:line="276" w:lineRule="auto" w:before="0" w:after="40"/>
        <w:ind w:left="420" w:hanging="420"/>
        <w:jc w:val="left"/>
      </w:pPr>
      <w:r>
        <w:rPr>
          <w:rFonts w:ascii="Times New Roman" w:hAnsi="Times New Roman" w:eastAsia="Times New Roman"/>
          <w:sz w:val="18"/>
        </w:rPr>
        <w:t>[6] S. Heidari, M. Ghasemi, Y. G. Kim, C.-J. Wu, and S. B. K. Vrudhula, “Elastic execution of multi-tenant DNNs on heterogeneous edge MPSoCs,” in Proc. IEEE/ACM Symp. Edge Comput. (SEC), 2024, pp. 279–291, doi: 10.1109/SEC62691.2024.00029.</w:t>
      </w:r>
    </w:p>
    <w:p>
      <w:pPr>
        <w:keepLines/>
        <w:spacing w:line="276" w:lineRule="auto" w:before="0" w:after="40"/>
        <w:ind w:left="420" w:hanging="420"/>
        <w:jc w:val="left"/>
      </w:pPr>
      <w:r>
        <w:rPr>
          <w:rFonts w:ascii="Times New Roman" w:hAnsi="Times New Roman" w:eastAsia="Times New Roman"/>
          <w:sz w:val="18"/>
        </w:rPr>
        <w:t>[7] Q. Liang, W. A. Hanafy, N. Bashir, A. Ali-Eldin, D. Irwin, and P. Shenoy, “Dělen: Enabling flexible and adaptive model-serving for multi-tenant edge AI,” in Proc. ACM/IEEE Conf. Internet Things Design Implementation (IoTDI), 2023, pp. 209–221, doi: 10.1145/3576842.3582375.</w:t>
      </w:r>
    </w:p>
    <w:p>
      <w:pPr>
        <w:keepLines/>
        <w:spacing w:line="276" w:lineRule="auto" w:before="0" w:after="40"/>
        <w:ind w:left="420" w:hanging="420"/>
        <w:jc w:val="left"/>
      </w:pPr>
      <w:r>
        <w:rPr>
          <w:rFonts w:ascii="Times New Roman" w:hAnsi="Times New Roman" w:eastAsia="Times New Roman"/>
          <w:sz w:val="18"/>
        </w:rPr>
        <w:t>[8] G. Zhang, Y. Zhang, X. Huang, and W. Zhang, “Coinf: QoS-aware DRL-based inference task scheduling framework with batching processing,” ACM Trans. Embedded Comput. Syst., vol. 25, no. 1, Art. no. 3, 20 pp., Jan. 2026, doi: 10.1145/3777373.</w:t>
      </w:r>
    </w:p>
    <w:p>
      <w:pPr>
        <w:keepLines/>
        <w:spacing w:line="276" w:lineRule="auto" w:before="0" w:after="40"/>
        <w:ind w:left="420" w:hanging="420"/>
        <w:jc w:val="left"/>
      </w:pPr>
      <w:r>
        <w:rPr>
          <w:rFonts w:ascii="Times New Roman" w:hAnsi="Times New Roman" w:eastAsia="Times New Roman"/>
          <w:sz w:val="18"/>
        </w:rPr>
        <w:t>[9] J. Cao, X. Li, Q. Liu, T. Han, N. Zhang, and W. Shi, “EdgeServing: Deadline-aware multi-DNN serving at the edge,” arXiv:2605.05527, 2026.</w:t>
      </w:r>
    </w:p>
    <w:p>
      <w:pPr>
        <w:keepLines/>
        <w:spacing w:line="276" w:lineRule="auto" w:before="0" w:after="40"/>
        <w:ind w:left="420" w:hanging="420"/>
        <w:jc w:val="left"/>
      </w:pPr>
      <w:r>
        <w:rPr>
          <w:rFonts w:ascii="Times New Roman" w:hAnsi="Times New Roman" w:eastAsia="Times New Roman"/>
          <w:sz w:val="18"/>
        </w:rPr>
        <w:t>[10] H. Zhang, Y. Tang, A. Khandelwal, and I. Stoica, “SHEPHERD: Serving DNNs in the wild,” in Proc. 20th USENIX Symp. Networked Syst. Design Implementation (NSDI), 2023, pp. 787–808.</w:t>
      </w:r>
    </w:p>
    <w:p>
      <w:pPr>
        <w:keepLines/>
        <w:spacing w:line="276" w:lineRule="auto" w:before="0" w:after="40"/>
        <w:ind w:left="420" w:hanging="420"/>
        <w:jc w:val="left"/>
      </w:pPr>
      <w:r>
        <w:rPr>
          <w:rFonts w:ascii="Times New Roman" w:hAnsi="Times New Roman" w:eastAsia="Times New Roman"/>
          <w:sz w:val="18"/>
        </w:rPr>
        <w:t>[11] Y. Kim, I. Kim, K. Choi, J. Ahn, J. Park, and J. Huh, “Interference-aware DNN serving on heterogeneous processors in edge systems,” in Proc. IEEE 42nd Int. Conf. Comput. Design (ICCD), 2024, pp. 199–206, doi: 10.1109/ICCD63220.2024.00038.</w:t>
      </w: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A4BFE">
    <w:pPr>
      <w:pStyle w:val="24"/>
      <w:jc w:val="right"/>
    </w:pPr>
    <w:r>
      <w:rPr>
        <w:rFonts w:ascii="Calibri" w:hAnsi="Calibri" w:eastAsia="宋体" w:cs="Calibri"/>
        <w:color w:val="6B7280"/>
        <w:sz w:val="18"/>
      </w:rPr>
      <w:fldChar w:fldCharType="begin"/>
    </w:r>
    <w:r>
      <w:rPr>
        <w:rFonts w:ascii="Calibri" w:hAnsi="Calibri" w:eastAsia="宋体" w:cs="Calibri"/>
        <w:color w:val="6B7280"/>
        <w:sz w:val="18"/>
      </w:rPr>
      <w:instrText xml:space="preserve"> PAGE </w:instrText>
    </w:r>
    <w:r>
      <w:rPr>
        <w:rFonts w:ascii="Calibri" w:hAnsi="Calibri" w:eastAsia="宋体" w:cs="Calibri"/>
        <w:color w:val="6B7280"/>
        <w:sz w:val="18"/>
      </w:rPr>
      <w:fldChar w:fldCharType="separate"/>
    </w:r>
    <w:r>
      <w:rPr>
        <w:rFonts w:ascii="Calibri" w:hAnsi="Calibri" w:eastAsia="宋体" w:cs="Calibri"/>
        <w:color w:val="6B7280"/>
        <w:sz w:val="18"/>
      </w:rPr>
      <w:t>1</w:t>
    </w:r>
    <w:r>
      <w:rPr>
        <w:rFonts w:ascii="Calibri" w:hAnsi="Calibri" w:eastAsia="宋体" w:cs="Calibri"/>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C478">
    <w:pPr>
      <w:pStyle w:val="25"/>
      <w:jc w:val="right"/>
    </w:pPr>
    <w:r>
      <w:t>论文中文修订稿  ·  Introduction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ind w:left="540" w:hanging="28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533CE4"/>
    <w:rsid w:val="1E002D45"/>
    <w:rsid w:val="2C6170A5"/>
    <w:rsid w:val="2D0D13E0"/>
    <w:rsid w:val="3C1165F2"/>
    <w:rsid w:val="4E9B3DFF"/>
    <w:rsid w:val="671F5543"/>
    <w:rsid w:val="782011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Calibri"/>
      <w:sz w:val="21"/>
      <w:szCs w:val="22"/>
      <w:lang w:val="en-US" w:eastAsia="en-US" w:bidi="ar-SA"/>
    </w:rPr>
  </w:style>
  <w:style w:type="paragraph" w:styleId="3">
    <w:name w:val="heading 1"/>
    <w:basedOn w:val="1"/>
    <w:next w:val="1"/>
    <w:link w:val="140"/>
    <w:qFormat/>
    <w:uiPriority w:val="9"/>
    <w:pPr>
      <w:keepNext/>
      <w:keepLines/>
      <w:spacing w:before="0" w:after="120"/>
      <w:outlineLvl w:val="0"/>
    </w:pPr>
    <w:rPr>
      <w:rFonts w:asciiTheme="majorHAnsi" w:hAnsiTheme="majorHAnsi" w:eastAsiaTheme="majorEastAsia" w:cstheme="majorBidi" w:ascii="Arial" w:hAnsi="Arial" w:eastAsia="黑体"/>
      <w:b/>
      <w:bCs/>
      <w:color w:val="000000"/>
      <w:sz w:val="30"/>
      <w:szCs w:val="28"/>
    </w:rPr>
  </w:style>
  <w:style w:type="paragraph" w:styleId="4">
    <w:name w:val="heading 2"/>
    <w:basedOn w:val="1"/>
    <w:next w:val="1"/>
    <w:link w:val="141"/>
    <w:unhideWhenUsed/>
    <w:qFormat/>
    <w:uiPriority w:val="9"/>
    <w:pPr>
      <w:keepNext/>
      <w:keepLines/>
      <w:pageBreakBefore w:val="0"/>
      <w:spacing w:before="160" w:after="80"/>
      <w:outlineLvl w:val="1"/>
    </w:pPr>
    <w:rPr>
      <w:rFonts w:asciiTheme="majorHAnsi" w:hAnsiTheme="majorHAnsi" w:eastAsiaTheme="majorEastAsia" w:cstheme="majorBidi" w:ascii="Arial" w:hAnsi="Arial" w:eastAsia="黑体"/>
      <w:b/>
      <w:bCs/>
      <w:color w:val="000000"/>
      <w:sz w:val="26"/>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line="360" w:lineRule="auto" w:before="30" w:after="30"/>
      <w:contextualSpacing/>
      <w:jc w:val="both"/>
    </w:pPr>
    <w:rPr>
      <w:rFonts w:ascii="Times New Roman" w:hAnsi="Times New Roman" w:eastAsia="宋体"/>
      <w:sz w:val="21"/>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qFormat/>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3250</Words>
  <Characters>5108</Characters>
  <Lines>0</Lines>
  <Paragraphs>0</Paragraphs>
  <TotalTime>494</TotalTime>
  <ScaleCrop>false</ScaleCrop>
  <LinksUpToDate>false</LinksUpToDate>
  <CharactersWithSpaces>5595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dc:creator>
  <dc:description>generated by python-docx</dc:description>
  <cp:lastModifiedBy>.</cp:lastModifiedBy>
  <dcterms:modified xsi:type="dcterms:W3CDTF">2026-07-26T06:52:59Z</dcterms:modified>
  <dc:subject>多 DNN 边缘推理在线调度</dc:subject>
  <dc:title>Introduction 中文修订稿</dc:title>
  <cp:revision>1</cp:revision>
  <cp:keywords>edge inference, dynamic batching, SLA, tail latency, discrete SAC</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2052-12.1.0.26895</vt:lpwstr>
  </property>
  <property fmtid="{D5CDD505-2E9C-101B-9397-08002B2CF9AE}" pid="4" name="ICV">
    <vt:lpwstr>7E11E7B19C9F4F069189DB281AD15981_12</vt:lpwstr>
  </property>
</Properties>
</file>