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0C2BF">
      <w:pPr>
        <w:pStyle w:val="3"/>
        <w:keepNext/>
        <w:spacing w:before="120" w:after="60"/>
      </w:pPr>
      <w:r>
        <w:rPr>
          <w:rFonts w:ascii="Times New Roman" w:hAnsi="Times New Roman" w:eastAsia="黑体"/>
          <w:sz w:val="32"/>
        </w:rPr>
        <w:t>2 相关工作</w:t>
      </w:r>
    </w:p>
    <w:p w14:paraId="2EFECBA5">
      <w:pPr>
        <w:keepNext w:val="0"/>
        <w:keepLines w:val="0"/>
        <w:widowControl/>
        <w:suppressLineNumbers w:val="0"/>
        <w:spacing w:line="360" w:lineRule="auto" w:before="0" w:after="0"/>
        <w:ind w:firstLine="420"/>
        <w:rPr>
          <w:rFonts w:ascii="Times New Roman" w:hAnsi="Times New Roman" w:eastAsia="宋体" w:cs="Calibri"/>
          <w:kern w:val="0"/>
          <w:sz w:val="21"/>
          <w:szCs w:val="22"/>
          <w:lang w:val="en-US" w:eastAsia="en-US" w:bidi="ar-SA"/>
        </w:rPr>
      </w:pPr>
      <w:r>
        <w:rPr>
          <w:rFonts w:ascii="Times New Roman" w:hAnsi="Times New Roman" w:eastAsia="宋体" w:cs="Calibri"/>
          <w:kern w:val="0"/>
          <w:sz w:val="21"/>
          <w:szCs w:val="22"/>
          <w:lang w:val="en-US" w:eastAsia="en-US" w:bidi="ar-SA"/>
        </w:rPr>
        <w:t>本节介绍与边缘计算任务卸载、边缘智能协同推理以及 SLO 约束下多 DNN 动态组批与在线调度相关的研究。</w:t>
      </w:r>
    </w:p>
    <w:p w14:paraId="5ECBC57E">
      <w:pPr>
        <w:pStyle w:val="4"/>
        <w:keepNext/>
        <w:spacing w:before="120" w:after="60"/>
        <w:ind w:left="0" w:leftChars="0" w:firstLine="482" w:firstLineChars="200"/>
      </w:pPr>
      <w:r>
        <w:rPr>
          <w:rFonts w:ascii="Times New Roman" w:hAnsi="Times New Roman" w:eastAsia="黑体"/>
          <w:sz w:val="24"/>
        </w:rPr>
        <w:t xml:space="preserve">2.1 </w:t>
      </w:r>
      <w:r>
        <w:rPr>
          <w:rFonts w:ascii="宋体" w:hAnsi="宋体" w:eastAsia="宋体" w:cs="宋体"/>
          <w:sz w:val="24"/>
          <w:szCs w:val="24"/>
        </w:rPr>
        <w:t>边缘计算中的任务卸载与资源协同</w:t>
      </w:r>
    </w:p>
    <w:p w14:paraId="2BECD429">
      <w:pPr>
        <w:spacing w:after="0" w:line="360" w:lineRule="auto" w:before="0"/>
        <w:ind w:firstLine="420"/>
      </w:pPr>
      <w:r>
        <w:rPr>
          <w:rFonts w:ascii="Times New Roman" w:hAnsi="Times New Roman" w:eastAsia="宋体"/>
          <w:sz w:val="21"/>
        </w:rPr>
        <w:t>移动边缘计算中的任务卸载主要决定计算任务在终端、边缘节点与云端之间的执行位置，并常与无线资源、计算资源和能耗控制联合优化。早期研究通常在已知信道、任务规模和服务器能力的条件下建立解析模型，再利用凸优化、分解算法、博弈方法或启发式搜索求解卸载与资源分配问题 [12]。这类方法具有决策逻辑清晰、约束便于显式处理等优点；当系统模型较稳定、动作空间规模可控时，也能得到质量较高的解。然而，在请求持续到达、信道和资源状态频繁变化的在线场景中，调度器需要反复求解组合优化问题，其效果也更依赖性能模型与参数估计的准确性。</w:t>
      </w:r>
    </w:p>
    <w:p w14:paraId="764AADAF">
      <w:pPr>
        <w:spacing w:after="0" w:line="360" w:lineRule="auto" w:before="0"/>
        <w:ind w:firstLine="420"/>
      </w:pPr>
      <w:r>
        <w:rPr>
          <w:rFonts w:ascii="Times New Roman" w:hAnsi="Times New Roman" w:eastAsia="宋体"/>
          <w:sz w:val="21"/>
        </w:rPr>
        <w:t>强化学习通常将任务卸载建模为马尔可夫决策过程（Markov Decision Process, MDP），并通过与环境持续交互学习卸载策略，以优化队列状态、服务时延和能耗等长期累积指标。相关综述系统梳理了强化学习在 MEC 任务卸载、内容缓存和通信资源管理中的应用，指出其优势主要体现在对动态运行状态的适应能力以及面向长期累积效用的策略优化 [13]。Sharma 等将具有依赖关系的多任务表示为有向无环图，并结合一阶元学习与深度 Q 学习提高策略对动态边云环境的适应速度 [14]。Ke 等面向多工作负载和多 MEC 服务器设计模块化 Soft Actor-Critic 框架，通过工作负载表征、加权策略修正和优先经验回放处理时变到达与信道状态 [15]。TF-DDRL 利用 Transformer 增强的分布式深度强化学习捕获边云 IoT 调度中的任务关系和长期状态变化 [16]。这些工作说明，强化学习适合处理状态演化、动作耦合和长期回报并存的卸载问题，但其主要决策仍集中于任务执行位置和资源份额，尚未充分描述 DNN 请求在队列、组批和具体推理设备之间的联合调度。</w:t>
      </w:r>
      <w:r>
        <w:rPr>
          <w:rFonts w:hint="eastAsia" w:ascii="Times New Roman" w:hAnsi="Times New Roman" w:eastAsia="宋体"/>
          <w:sz w:val="21"/>
          <w:lang w:val="en-US" w:eastAsia="zh-CN"/>
        </w:rPr>
      </w:r>
      <w:r>
        <w:rPr>
          <w:rFonts w:ascii="Times New Roman" w:hAnsi="Times New Roman" w:eastAsia="宋体"/>
          <w:sz w:val="21"/>
        </w:rPr>
      </w:r>
      <w:r>
        <w:rPr>
          <w:rFonts w:hint="eastAsia" w:ascii="Times New Roman" w:hAnsi="Times New Roman" w:eastAsia="宋体"/>
          <w:sz w:val="21"/>
          <w:lang w:val="en-US" w:eastAsia="zh-CN"/>
        </w:rPr>
      </w:r>
      <w:r>
        <w:rPr>
          <w:rFonts w:ascii="Times New Roman" w:hAnsi="Times New Roman" w:eastAsia="宋体"/>
          <w:sz w:val="21"/>
        </w:rPr>
      </w:r>
    </w:p>
    <w:p w14:paraId="1FC15EE5">
      <w:pPr>
        <w:pStyle w:val="4"/>
        <w:keepNext/>
        <w:spacing w:before="120" w:after="60"/>
      </w:pPr>
      <w:r>
        <w:rPr>
          <w:rFonts w:ascii="Times New Roman" w:hAnsi="Times New Roman" w:eastAsia="宋体"/>
          <w:sz w:val="24"/>
        </w:rPr>
        <w:t>2.2 边缘智能中的协同推理与优化</w:t>
      </w:r>
      <w:r>
        <w:rPr>
          <w:rFonts w:hint="eastAsia" w:ascii="Times New Roman" w:hAnsi="Times New Roman" w:eastAsia="黑体"/>
          <w:sz w:val="24"/>
          <w:lang w:val="en-US" w:eastAsia="zh-CN"/>
        </w:rPr>
      </w:r>
      <w:r>
        <w:rPr>
          <w:rFonts w:ascii="Times New Roman" w:hAnsi="Times New Roman" w:eastAsia="黑体"/>
          <w:sz w:val="24"/>
        </w:rPr>
      </w:r>
    </w:p>
    <w:p w14:paraId="4CACD7FC">
      <w:pPr>
        <w:spacing w:after="0" w:line="360" w:lineRule="auto" w:before="0"/>
        <w:ind w:firstLine="420"/>
      </w:pPr>
      <w:r>
        <w:rPr>
          <w:rFonts w:ascii="Times New Roman" w:hAnsi="Times New Roman" w:eastAsia="宋体"/>
          <w:sz w:val="21"/>
        </w:rPr>
        <w:t>边缘智能协同推理利用终端、边缘节点与云端之间的资源互补性，将 DNN 模型或中间特征的计算分配至不同层级，以降低端侧计算压力并满足时延、能耗和推理精度等要求。现有模型驱动方法通常围绕模型选择、网络切分、输入压缩和计算卸载建立联合优化模型。Spatharakis 等在端设备与边缘云协同场景中联合决定本地或远程模型、输入压缩比例和任务卸载策略，以权衡推理精度与端到端时延 [1]。这类方法能够显式描述通信、计算和精度约束，但其求解效果在较大程度上依赖系统参数与性能模型的准确性。</w:t>
      </w:r>
      <w:r>
        <w:rPr>
          <w:rFonts w:hint="eastAsia" w:ascii="Times New Roman" w:hAnsi="Times New Roman" w:eastAsia="宋体"/>
          <w:sz w:val="21"/>
          <w:lang w:val="en-US" w:eastAsia="zh-CN"/>
        </w:rPr>
      </w:r>
      <w:r>
        <w:rPr>
          <w:rFonts w:ascii="Times New Roman" w:hAnsi="Times New Roman" w:eastAsia="宋体"/>
          <w:sz w:val="21"/>
        </w:rPr>
      </w:r>
      <w:r>
        <w:rPr>
          <w:rFonts w:hint="eastAsia" w:ascii="Times New Roman" w:hAnsi="Times New Roman" w:eastAsia="宋体"/>
          <w:sz w:val="21"/>
          <w:lang w:val="en-US" w:eastAsia="zh-CN"/>
        </w:rPr>
      </w:r>
      <w:r>
        <w:rPr>
          <w:rFonts w:ascii="Times New Roman" w:hAnsi="Times New Roman" w:eastAsia="宋体"/>
          <w:sz w:val="21"/>
        </w:rPr>
      </w:r>
      <w:r>
        <w:rPr>
          <w:rFonts w:hint="eastAsia" w:ascii="Times New Roman" w:hAnsi="Times New Roman" w:eastAsia="宋体"/>
          <w:sz w:val="21"/>
          <w:lang w:val="en-US" w:eastAsia="zh-CN"/>
        </w:rPr>
      </w:r>
      <w:r>
        <w:rPr>
          <w:rFonts w:ascii="Times New Roman" w:hAnsi="Times New Roman" w:eastAsia="宋体"/>
          <w:sz w:val="21"/>
        </w:rPr>
      </w:r>
    </w:p>
    <w:p>
      <w:pPr>
        <w:spacing w:after="0" w:line="360" w:lineRule="auto" w:before="0"/>
        <w:ind w:firstLine="420"/>
      </w:pPr>
      <w:r>
        <w:rPr>
          <w:rFonts w:ascii="Times New Roman" w:hAnsi="Times New Roman" w:eastAsia="宋体"/>
          <w:sz w:val="21"/>
        </w:rPr>
        <w:t>强化学习能够适应通信条件与计算资源的动态变化，并据此优化协同推理中的模型切分、任务卸载和资源配置决策。DVFO 通过深度强化学习联合选择 DNN 切分位置以及 CPU、GPU 和内存的动态电压频率，以降低边云协同推理的时延与能耗 [17]。Qian 等采用循环深度强化学习联合调整无线资源、终端卸载比例与边缘侧多 DNN 推理编排，以适应通信和计算状态变化 [18]。相比通用计算卸载，这些研究已经将 DNN 的模型特征与硬件执行特性纳入决策过程，但主要关注计算在端、边、云之间的划分，以及通信和设备内部资源控制，尚未充分覆盖持续请求队列中的在线服务决策。</w:t>
      </w:r>
    </w:p>
    <w:p w14:paraId="78BE58B7">
      <w:pPr>
        <w:pStyle w:val="4"/>
        <w:keepNext/>
        <w:spacing w:before="120" w:after="60"/>
      </w:pPr>
      <w:r>
        <w:rPr>
          <w:rFonts w:ascii="Times New Roman" w:hAnsi="Times New Roman" w:eastAsia="黑体"/>
          <w:sz w:val="24"/>
        </w:rPr>
        <w:t>2.3 SLO 约束下的多 DNN 动态组批与在线调度</w:t>
      </w:r>
    </w:p>
    <w:p w14:paraId="7A2590C0">
      <w:pPr>
        <w:spacing w:after="0" w:line="360" w:lineRule="auto" w:before="0"/>
        <w:ind w:firstLine="420"/>
        <w:rPr>
          <w:rFonts w:ascii="Times New Roman" w:hAnsi="Times New Roman" w:eastAsia="宋体"/>
          <w:sz w:val="21"/>
        </w:rPr>
      </w:pPr>
      <w:r>
        <w:rPr>
          <w:rFonts w:ascii="Times New Roman" w:hAnsi="Times New Roman" w:eastAsia="宋体"/>
          <w:sz w:val="21"/>
        </w:rPr>
        <w:t>在多 DNN 在线推理服务中，动态组批通过合并同类请求提高设备利用率与吞吐量，但等待更多请求会持续消耗截止期限（deadline）余量。因此，批处理规模（batch size）、最大等待时间、并发度和执行设备需要结合请求紧迫度进行协调。HarmonyBatch 面向异构 CPU/GPU 无服务器函数，对具有不同 SLO 的推理请求进行分组并联合配置计算资源 [19]。ELTO 利用实测性能数据与回归预测在线调整组批参数，以权衡推理时延和能耗 [20]。这类方法具有较强的可解释性和较低的在线开销，但其决策质量通常取决于性能预测能否准确反映当前运行状态。</w:t>
      </w:r>
    </w:p>
    <w:p w14:paraId="3354D69A">
      <w:pPr>
        <w:spacing w:after="0" w:line="360" w:lineRule="auto" w:before="0"/>
        <w:ind w:firstLine="420"/>
      </w:pPr>
      <w:r>
        <w:rPr>
          <w:rFonts w:hint="eastAsia" w:ascii="Times New Roman" w:hAnsi="Times New Roman" w:eastAsia="宋体"/>
          <w:sz w:val="21"/>
          <w:lang w:val="en-US" w:eastAsia="zh-CN"/>
        </w:rPr>
        <w:t>相比之下，强化学习能够通过与运行环境交互直接学习动态组批策略。BCEdge 采用最大熵深度强化学习联合调节批处理规模与并发实例数，以满足多 DNN 服务的吞吐量和 SLO 要求 [5]。Coinf 根据性能预测识别紧急任务，并由深度强化学习调度器选择相应的组批动作 [8]。Sun 等进一步利用离散 Soft Actor-Critic 联合学习任务卸载与 SLA 感知组批策略 [21]。上述方法表明，学习式调度能够考虑当前组批决策对后续队列积压、吞吐量和截止期限违约风险的持续影响，因而适合请求不断到达且系统状态动态变化的在线服务场景。</w:t>
      </w:r>
      <w:r>
        <w:rPr>
          <w:rFonts w:ascii="Times New Roman" w:hAnsi="Times New Roman" w:eastAsia="宋体"/>
          <w:sz w:val="21"/>
        </w:rPr>
      </w:r>
    </w:p>
    <w:p w14:paraId="59B9DD32">
      <w:pPr>
        <w:spacing w:after="0" w:line="360" w:lineRule="auto" w:before="0"/>
        <w:ind w:firstLine="420"/>
        <w:rPr>
          <w:rFonts w:ascii="Times New Roman" w:hAnsi="Times New Roman" w:eastAsia="宋体"/>
          <w:sz w:val="21"/>
        </w:rPr>
      </w:pPr>
      <w:r>
        <w:rPr>
          <w:rFonts w:ascii="Times New Roman" w:hAnsi="Times New Roman" w:eastAsia="宋体"/>
          <w:sz w:val="21"/>
        </w:rPr>
        <w:t>除组批效率外，多 DNN 服务还需要保障请求级 SLO 并控制尾部时延。EdgeServing 从截止期限约束出发协调多个 DNN 队列的服务顺序 [9]。TailGuard 面向用户服务的尾部时延 SLO，设计任务级最早截止时间优先调度机制 [22]。这些研究分别强化了截止期限感知和尾部风险控制，但尚未统一处理异构设备路由、动态组批与等待（WAIT）决策之间的耦合，也较少利用历史执行反馈识别不可直接观测的运行状态变化。</w:t>
      </w:r>
    </w:p>
    <w:p w14:paraId="138B2E74">
      <w:pPr>
        <w:spacing w:after="0" w:line="360" w:lineRule="auto" w:before="0"/>
        <w:ind w:firstLine="420"/>
        <w:rPr>
          <w:rFonts w:ascii="Times New Roman" w:hAnsi="Times New Roman" w:eastAsia="宋体" w:cs="Calibri"/>
          <w:kern w:val="0"/>
          <w:sz w:val="21"/>
          <w:szCs w:val="22"/>
          <w:lang w:val="en-US" w:eastAsia="en-US" w:bidi="ar-SA"/>
        </w:rPr>
      </w:pPr>
      <w:r>
        <w:rPr>
          <w:rFonts w:ascii="Times New Roman" w:hAnsi="Times New Roman" w:eastAsia="宋体" w:cs="Calibri"/>
          <w:kern w:val="0"/>
          <w:sz w:val="21"/>
          <w:szCs w:val="22"/>
          <w:lang w:val="en-US" w:eastAsia="en-US" w:bidi="ar-SA"/>
        </w:rPr>
        <w:t>综上，现有研究多侧重任务卸载、协同推理、动态组批或 SLO 保障中的部分环节，对动态多 DNN 服务中的设备选择、组批和等待决策缺乏统一优化。为此，本文构建基于离散 SAC 的在线调度方法。调度器仅依据已观测信息进行决策：GRU 从历史运行反馈中提取动态状态特征，因果负载压力门控模块则结合在线到达率估计、队列积压和请求紧迫度限制高风险动作，从而在控制能耗开销的同时降低 SLA 违约率与尾部时延。</w:t>
      </w:r>
      <w:r>
        <w:rPr>
          <w:rFonts w:hint="eastAsia" w:cs="Calibri" w:ascii="Times New Roman" w:hAnsi="Times New Roman" w:eastAsia="宋体"/>
          <w:kern w:val="0"/>
          <w:sz w:val="21"/>
          <w:szCs w:val="22"/>
          <w:lang w:val="en-US" w:eastAsia="zh-CN" w:bidi="ar-SA"/>
        </w:rPr>
      </w:r>
      <w:r>
        <w:rPr>
          <w:rFonts w:ascii="Times New Roman" w:hAnsi="Times New Roman" w:eastAsia="宋体" w:cs="Calibri"/>
          <w:kern w:val="0"/>
          <w:sz w:val="21"/>
          <w:szCs w:val="22"/>
          <w:lang w:val="en-US" w:eastAsia="en-US" w:bidi="ar-SA"/>
        </w:rPr>
      </w:r>
      <w:r>
        <w:rPr>
          <w:rFonts w:ascii="Times New Roman" w:hAnsi="Times New Roman" w:eastAsia="宋体" w:cs="Calibri"/>
          <w:kern w:val="0"/>
          <w:sz w:val="21"/>
          <w:szCs w:val="22"/>
          <w:lang w:val="en-US" w:eastAsia="en-US" w:bidi="ar-SA"/>
        </w:rPr>
      </w:r>
      <w:r>
        <w:rPr>
          <w:rFonts w:hint="eastAsia" w:cs="Calibri" w:ascii="Times New Roman" w:hAnsi="Times New Roman" w:eastAsia="宋体"/>
          <w:kern w:val="0"/>
          <w:sz w:val="21"/>
          <w:szCs w:val="22"/>
          <w:lang w:val="en-US" w:eastAsia="zh-CN" w:bidi="ar-SA"/>
        </w:rPr>
      </w:r>
      <w:r>
        <w:rPr>
          <w:rFonts w:ascii="Times New Roman" w:hAnsi="Times New Roman" w:eastAsia="宋体" w:cs="Calibri"/>
          <w:kern w:val="0"/>
          <w:sz w:val="21"/>
          <w:szCs w:val="22"/>
          <w:lang w:val="en-US" w:eastAsia="en-US" w:bidi="ar-SA"/>
        </w:rPr>
      </w:r>
      <w:r>
        <w:rPr>
          <w:rFonts w:hint="eastAsia" w:cs="Calibri" w:ascii="Times New Roman" w:hAnsi="Times New Roman" w:eastAsia="宋体"/>
          <w:kern w:val="0"/>
          <w:sz w:val="21"/>
          <w:szCs w:val="22"/>
          <w:lang w:val="en-US" w:eastAsia="zh-CN" w:bidi="ar-SA"/>
        </w:rPr>
      </w:r>
      <w:r>
        <w:rPr>
          <w:rFonts w:ascii="Times New Roman" w:hAnsi="Times New Roman" w:eastAsia="宋体" w:cs="Calibri"/>
          <w:kern w:val="0"/>
          <w:sz w:val="21"/>
          <w:szCs w:val="22"/>
          <w:lang w:val="en-US" w:eastAsia="en-US" w:bidi="ar-SA"/>
        </w:rPr>
      </w:r>
      <w:r>
        <w:rPr>
          <w:rFonts w:hint="eastAsia" w:cs="Calibri" w:ascii="Times New Roman" w:hAnsi="Times New Roman" w:eastAsia="宋体"/>
          <w:kern w:val="0"/>
          <w:sz w:val="21"/>
          <w:szCs w:val="22"/>
          <w:lang w:val="en-US" w:eastAsia="zh-CN" w:bidi="ar-SA"/>
        </w:rPr>
      </w:r>
      <w:r>
        <w:rPr>
          <w:rFonts w:ascii="Times New Roman" w:hAnsi="Times New Roman" w:eastAsia="宋体" w:cs="Calibri"/>
          <w:kern w:val="0"/>
          <w:sz w:val="21"/>
          <w:szCs w:val="22"/>
          <w:lang w:val="en-US" w:eastAsia="en-US" w:bidi="ar-SA"/>
        </w:rPr>
      </w:r>
      <w:r>
        <w:rPr>
          <w:rFonts w:hint="eastAsia" w:cs="Calibri" w:ascii="Times New Roman" w:hAnsi="Times New Roman" w:eastAsia="宋体"/>
          <w:kern w:val="0"/>
          <w:sz w:val="21"/>
          <w:szCs w:val="22"/>
          <w:lang w:val="en-US" w:eastAsia="zh-CN" w:bidi="ar-SA"/>
        </w:rPr>
      </w:r>
      <w:r>
        <w:rPr>
          <w:rFonts w:ascii="Times New Roman" w:hAnsi="Times New Roman" w:eastAsia="宋体" w:cs="Calibri"/>
          <w:kern w:val="0"/>
          <w:sz w:val="21"/>
          <w:szCs w:val="22"/>
          <w:lang w:val="en-US" w:eastAsia="en-US" w:bidi="ar-SA"/>
        </w:rPr>
      </w:r>
      <w:r>
        <w:rPr>
          <w:rFonts w:ascii="Times New Roman" w:hAnsi="Times New Roman" w:eastAsia="宋体" w:cs="Calibri"/>
          <w:kern w:val="0"/>
          <w:sz w:val="21"/>
          <w:szCs w:val="22"/>
          <w:lang w:val="en-US" w:eastAsia="en-US" w:bidi="ar-SA"/>
        </w:rPr>
      </w:r>
      <w:r>
        <w:rPr>
          <w:rFonts w:hint="eastAsia" w:cs="Calibri" w:ascii="Times New Roman" w:hAnsi="Times New Roman" w:eastAsia="宋体"/>
          <w:kern w:val="0"/>
          <w:sz w:val="21"/>
          <w:szCs w:val="22"/>
          <w:lang w:val="en-US" w:eastAsia="zh-CN" w:bidi="ar-SA"/>
        </w:rPr>
      </w:r>
      <w:r>
        <w:rPr>
          <w:rFonts w:ascii="Times New Roman" w:hAnsi="Times New Roman" w:eastAsia="宋体" w:cs="Calibri"/>
          <w:kern w:val="0"/>
          <w:sz w:val="21"/>
          <w:szCs w:val="22"/>
          <w:lang w:val="en-US" w:eastAsia="en-US" w:bidi="ar-SA"/>
        </w:rPr>
      </w:r>
      <w:bookmarkStart w:id="0" w:name="_GoBack"/>
      <w:bookmarkEnd w:id="0"/>
      <w:r>
        <w:rPr>
          <w:rFonts w:ascii="Times New Roman" w:hAnsi="Times New Roman" w:eastAsia="宋体" w:cs="Calibri"/>
          <w:kern w:val="0"/>
          <w:sz w:val="21"/>
          <w:szCs w:val="22"/>
          <w:lang w:val="en-US" w:eastAsia="en-US" w:bidi="ar-SA"/>
        </w:rPr>
      </w:r>
    </w:p>
    <w:p w14:paraId="38C6C9DA">
      <w:pPr>
        <w:pStyle w:val="4"/>
        <w:keepNext/>
        <w:spacing w:before="120" w:after="60"/>
      </w:pPr>
      <w:r>
        <w:rPr>
          <w:rFonts w:ascii="Times New Roman" w:hAnsi="Times New Roman" w:eastAsia="宋体"/>
          <w:sz w:val="24"/>
        </w:rPr>
        <w:t>参考文献</w:t>
      </w:r>
    </w:p>
    <w:p>
      <w:pPr>
        <w:spacing w:line="240" w:lineRule="auto" w:before="0" w:after="0"/>
        <w:ind w:left="420" w:hanging="420"/>
      </w:pPr>
      <w:r>
        <w:rPr>
          <w:rFonts w:ascii="Times New Roman" w:hAnsi="Times New Roman" w:eastAsia="宋体"/>
          <w:sz w:val="17"/>
        </w:rPr>
        <w:t>[1] D. Spatharakis, C. Pelekis, D. Dechouniotis, and S. Papavasileiou, “A task offloading and batch scheduling framework for edge-assisted inference,” Future Gener. Comput. Syst., vol. 175, Art. no. 108030, 2026, doi: 10.1016/j.future.2025.108030.</w:t>
      </w:r>
    </w:p>
    <w:p>
      <w:pPr>
        <w:spacing w:line="240" w:lineRule="auto" w:before="0" w:after="0"/>
        <w:ind w:left="420" w:hanging="420"/>
      </w:pPr>
      <w:r>
        <w:rPr>
          <w:rFonts w:ascii="Times New Roman" w:hAnsi="Times New Roman" w:eastAsia="宋体"/>
          <w:sz w:val="17"/>
        </w:rPr>
        <w:t>[2] Z. Zhao, N. Ling, N. Guan, and G. Xing, “Miriam: Exploiting elastic kernels for real-time multi-DNN inference on edge GPU,” in Proc. 21st ACM Conf. Embedded Networked Sensor Syst. (SenSys), 2023, pp. 97–110, doi: 10.1145/3625687.3625789.</w:t>
      </w:r>
    </w:p>
    <w:p>
      <w:pPr>
        <w:spacing w:line="240" w:lineRule="auto" w:before="0" w:after="0"/>
        <w:ind w:left="420" w:hanging="420"/>
      </w:pPr>
      <w:r>
        <w:rPr>
          <w:rFonts w:ascii="Times New Roman" w:hAnsi="Times New Roman" w:eastAsia="宋体"/>
          <w:sz w:val="17"/>
        </w:rPr>
        <w:t>[3] T.-T. Nguyen, L. Liebe, N.-Q. Tau, Y. Wu, J. Cheng, and D. Lee, “OctopInf: Workload-aware inference serving for edge video analytics,” in Proc. IEEE Int. Conf. Pervasive Comput. Commun. (PerCom), 2025, pp. 128–137, doi: 10.1109/PerCom64205.2025.00032.</w:t>
      </w:r>
    </w:p>
    <w:p>
      <w:pPr>
        <w:spacing w:line="240" w:lineRule="auto" w:before="0" w:after="0"/>
        <w:ind w:left="420" w:hanging="420"/>
      </w:pPr>
      <w:r>
        <w:rPr>
          <w:rFonts w:ascii="Times New Roman" w:hAnsi="Times New Roman" w:eastAsia="宋体"/>
          <w:sz w:val="17"/>
        </w:rPr>
        <w:t>[4] N. Ling, W. Lu, X. Huang, Z. Zhao, N. Guan, Z. Yan, and G. Xing, “Time-sensitive multi-DNN inference on CPU-GPU edge platforms,” IEEE Trans. Mobile Comput., vol. 25, no. 5, pp. 6168–6184, May 2026, doi: 10.1109/TMC.2025.3636950.</w:t>
      </w:r>
    </w:p>
    <w:p>
      <w:pPr>
        <w:spacing w:line="240" w:lineRule="auto" w:before="0" w:after="0"/>
        <w:ind w:left="420" w:hanging="420"/>
      </w:pPr>
      <w:r>
        <w:rPr>
          <w:rFonts w:ascii="Times New Roman" w:hAnsi="Times New Roman" w:eastAsia="宋体"/>
          <w:sz w:val="17"/>
        </w:rPr>
        <w:t>[5] Z. Zhang, Y. Zhao, H. Li, and J. Liu, “BCEdge: SLO-aware DNN inference services with adaptive batch-concurrent scheduling on edge devices,” IEEE Trans. Netw. Service Manag., vol. 21, no. 4, pp. 4131–4145, 2024, doi: 10.1109/TNSM.2024.3409701.</w:t>
      </w:r>
    </w:p>
    <w:p>
      <w:pPr>
        <w:spacing w:line="240" w:lineRule="auto" w:before="0" w:after="0"/>
        <w:ind w:left="420" w:hanging="420"/>
      </w:pPr>
      <w:r>
        <w:rPr>
          <w:rFonts w:ascii="Times New Roman" w:hAnsi="Times New Roman" w:eastAsia="宋体"/>
          <w:sz w:val="17"/>
        </w:rPr>
        <w:t>[6] S. Heidari, M. Ghasemi, Y. G. Kim, C.-J. Wu, and S. B. K. Vrudhula, “Elastic execution of multi-tenant DNNs on heterogeneous edge MPSoCs,” in Proc. IEEE/ACM Symp. Edge Comput. (SEC), 2024, pp. 279–291, doi: 10.1109/SEC62691.2024.00029.</w:t>
      </w:r>
    </w:p>
    <w:p>
      <w:pPr>
        <w:spacing w:line="240" w:lineRule="auto" w:before="0" w:after="0"/>
        <w:ind w:left="420" w:hanging="420"/>
      </w:pPr>
      <w:r>
        <w:rPr>
          <w:rFonts w:ascii="Times New Roman" w:hAnsi="Times New Roman" w:eastAsia="宋体"/>
          <w:sz w:val="17"/>
        </w:rPr>
        <w:t>[7] Q. Liang, W. A. Hanafy, N. Bashir, A. Ali-Eldin, D. Irwin, and P. Shenoy, “Dělen: Enabling flexible and adaptive model-serving for multi-tenant edge AI,” in Proc. ACM/IEEE Conf. Internet Things Design Implementation (IoTDI), 2023, pp. 209–221, doi: 10.1145/3576842.3582375.</w:t>
      </w:r>
    </w:p>
    <w:p>
      <w:pPr>
        <w:spacing w:line="240" w:lineRule="auto" w:before="0" w:after="0"/>
        <w:ind w:left="420" w:hanging="420"/>
      </w:pPr>
      <w:r>
        <w:rPr>
          <w:rFonts w:ascii="Times New Roman" w:hAnsi="Times New Roman" w:eastAsia="宋体"/>
          <w:sz w:val="17"/>
        </w:rPr>
        <w:t>[8] G. Zhang, Y. Zhang, X. Huang, and W. Zhang, “Coinf: QoS-aware DRL-based inference task scheduling framework with batching processing,” ACM Trans. Embedded Comput. Syst., vol. 25, no. 1, Art. no. 3, 20 pp., Jan. 2026, doi: 10.1145/3777373.</w:t>
      </w:r>
    </w:p>
    <w:p>
      <w:pPr>
        <w:spacing w:line="240" w:lineRule="auto" w:before="0" w:after="0"/>
        <w:ind w:left="420" w:hanging="420"/>
      </w:pPr>
      <w:r>
        <w:rPr>
          <w:rFonts w:ascii="Times New Roman" w:hAnsi="Times New Roman" w:eastAsia="宋体"/>
          <w:sz w:val="17"/>
        </w:rPr>
        <w:t>[9] J. Cao, X. Li, Q. Liu, T. Han, N. Zhang, and W. Shi, “EdgeServing: Deadline-aware multi-DNN serving at the edge,” arXiv:2605.05527, 2026.</w:t>
      </w:r>
    </w:p>
    <w:p>
      <w:pPr>
        <w:spacing w:line="240" w:lineRule="auto" w:before="0" w:after="0"/>
        <w:ind w:left="420" w:hanging="420"/>
      </w:pPr>
      <w:r>
        <w:rPr>
          <w:rFonts w:ascii="Times New Roman" w:hAnsi="Times New Roman" w:eastAsia="宋体"/>
          <w:sz w:val="17"/>
        </w:rPr>
        <w:t>[10] H. Zhang, Y. Tang, A. Khandelwal, and I. Stoica, “SHEPHERD: Serving DNNs in the wild,” in Proc. 20th USENIX Symp. Networked Syst. Design Implementation (NSDI), 2023, pp. 787–808.</w:t>
      </w:r>
    </w:p>
    <w:p>
      <w:pPr>
        <w:spacing w:line="240" w:lineRule="auto" w:before="0" w:after="0"/>
        <w:ind w:left="420" w:hanging="420"/>
      </w:pPr>
      <w:r>
        <w:rPr>
          <w:rFonts w:ascii="Times New Roman" w:hAnsi="Times New Roman" w:eastAsia="宋体"/>
          <w:sz w:val="17"/>
        </w:rPr>
        <w:t>[11] Y. Kim, I. Kim, K. Choi, J. Ahn, J. Park, and J. Huh, “Interference-aware DNN serving on heterogeneous processors in edge systems,” in Proc. IEEE 42nd Int. Conf. Comput. Design (ICCD), 2024, pp. 199–206, doi: 10.1109/ICCD63220.2024.00038.</w:t>
      </w:r>
    </w:p>
    <w:p>
      <w:pPr>
        <w:spacing w:line="240" w:lineRule="auto" w:before="0" w:after="0"/>
        <w:ind w:left="420" w:hanging="420"/>
      </w:pPr>
      <w:r>
        <w:rPr>
          <w:rFonts w:ascii="Times New Roman" w:hAnsi="Times New Roman" w:eastAsia="宋体"/>
          <w:sz w:val="17"/>
        </w:rPr>
        <w:t>[12] Y. Mao, C. You, J. Zhang, K. Huang, and K. B. Letaief, “A survey on mobile edge computing: The communication perspective,” IEEE Commun. Surveys Tuts., vol. 19, no. 4, pp. 2322–2358, 4th Quart., 2017, doi: 10.1109/COMST.2017.2745201.</w:t>
      </w:r>
    </w:p>
    <w:p>
      <w:pPr>
        <w:spacing w:line="240" w:lineRule="auto" w:before="0" w:after="0"/>
        <w:ind w:left="420" w:hanging="420"/>
      </w:pPr>
      <w:r>
        <w:rPr>
          <w:rFonts w:ascii="Times New Roman" w:hAnsi="Times New Roman" w:eastAsia="宋体"/>
          <w:sz w:val="17"/>
        </w:rPr>
        <w:t>[13] N. Yang, S. Chen, H. Zhang, and R. Berry, “Beyond the edge: An advanced exploration of reinforcement learning for mobile edge computing, its applications, and future research trajectories,” IEEE Commun. Surveys Tuts., vol. 27, no. 1, pp. 546–594, Feb. 2025, doi: 10.1109/COMST.2024.3405075.</w:t>
      </w:r>
    </w:p>
    <w:p>
      <w:pPr>
        <w:spacing w:line="240" w:lineRule="auto" w:before="0" w:after="0"/>
        <w:ind w:left="420" w:hanging="420"/>
      </w:pPr>
      <w:r>
        <w:rPr>
          <w:rFonts w:ascii="Times New Roman" w:hAnsi="Times New Roman" w:eastAsia="宋体"/>
          <w:sz w:val="17"/>
        </w:rPr>
        <w:t>[14] N. Sharma, A. Ghosh, R. Misra, and S. K. Das, “Deep meta Q-learning based multi-task offloading in edge-cloud systems,” IEEE Trans. Mobile Comput., vol. 23, no. 4, pp. 2583–2598, Apr. 2024, doi: 10.1109/TMC.2023.3264901.</w:t>
      </w:r>
    </w:p>
    <w:p>
      <w:pPr>
        <w:spacing w:line="240" w:lineRule="auto" w:before="0" w:after="0"/>
        <w:ind w:left="420" w:hanging="420"/>
      </w:pPr>
      <w:r>
        <w:rPr>
          <w:rFonts w:ascii="Times New Roman" w:hAnsi="Times New Roman" w:eastAsia="宋体"/>
          <w:sz w:val="17"/>
        </w:rPr>
        <w:t>[15] H. Ke, Y. Ding, L. Pan, Y. Chen, and J. Zhao, “Modular deep reinforcement learning for multi-workload offloading in edge networks,” in Proc. 34th Int. Joint Conf. Artif. Intell. (IJCAI), 2025, pp. 5527–5535, doi: 10.24963/ijcai.2025/615.</w:t>
      </w:r>
    </w:p>
    <w:p>
      <w:pPr>
        <w:spacing w:line="240" w:lineRule="auto" w:before="0" w:after="0"/>
        <w:ind w:left="420" w:hanging="420"/>
      </w:pPr>
      <w:r>
        <w:rPr>
          <w:rFonts w:ascii="Times New Roman" w:hAnsi="Times New Roman" w:eastAsia="宋体"/>
          <w:sz w:val="17"/>
        </w:rPr>
        <w:t>[16] Z. Wang, M. Goudarzi, and R. Buyya, “TF-DDRL: A Transformer-enhanced distributed DRL technique for scheduling IoT applications in edge and cloud computing environments,” IEEE Trans. Services Comput., vol. 18, no. 2, pp. 1039–1053, Mar./Apr. 2025, doi: 10.1109/TSC.2025.3528346.</w:t>
      </w:r>
    </w:p>
    <w:p>
      <w:pPr>
        <w:spacing w:line="240" w:lineRule="auto" w:before="0" w:after="0"/>
        <w:ind w:left="420" w:hanging="420"/>
      </w:pPr>
      <w:r>
        <w:rPr>
          <w:rFonts w:ascii="Times New Roman" w:hAnsi="Times New Roman" w:eastAsia="宋体"/>
          <w:sz w:val="17"/>
        </w:rPr>
        <w:t>[17] Z. Zhang, Y. Zhao, H. Li, C. Lin, and J. Liu, “DVFO: Learning-based DVFS for energy-efficient edge-cloud collaborative inference,” IEEE Trans. Mobile Comput., vol. 23, no. 10, pp. 9042–9059, Oct. 2024, doi: 10.1109/TMC.2024.3357218.</w:t>
      </w:r>
    </w:p>
    <w:p>
      <w:pPr>
        <w:spacing w:line="240" w:lineRule="auto" w:before="0" w:after="0"/>
        <w:ind w:left="420" w:hanging="420"/>
      </w:pPr>
      <w:r>
        <w:rPr>
          <w:rFonts w:ascii="Times New Roman" w:hAnsi="Times New Roman" w:eastAsia="宋体"/>
          <w:sz w:val="17"/>
        </w:rPr>
        <w:t>[18] W. Qian, R. W. L. Coutinho, and A. Boukerche, “Communication resource allocation and multi-DNN inference optimization in edge computing-aided video analytics,” Comput. Commun., vol. 257, Art. no. 108607, 2026, doi: 10.1016/j.comcom.2026.108607.</w:t>
      </w:r>
    </w:p>
    <w:p>
      <w:pPr>
        <w:spacing w:line="240" w:lineRule="auto" w:before="0" w:after="0"/>
        <w:ind w:left="420" w:hanging="420"/>
      </w:pPr>
      <w:r>
        <w:rPr>
          <w:rFonts w:ascii="Times New Roman" w:hAnsi="Times New Roman" w:eastAsia="宋体"/>
          <w:sz w:val="17"/>
        </w:rPr>
        <w:t>[19] J. Chen, F. Xu, Y. Gu, L. Chen, F. Liu, and Z. Zhou, “HarmonyBatch: Batching multi-SLO DNN inference with heterogeneous serverless functions,” in Proc. IEEE/ACM 32nd Int. Symp. Quality Service (IWQoS), 2024, pp. 1–10, doi: 10.1109/IWQoS61813.2024.10682915.</w:t>
      </w:r>
    </w:p>
    <w:p>
      <w:pPr>
        <w:spacing w:line="240" w:lineRule="auto" w:before="0" w:after="0"/>
        <w:ind w:left="420" w:hanging="420"/>
      </w:pPr>
      <w:r>
        <w:rPr>
          <w:rFonts w:ascii="Times New Roman" w:hAnsi="Times New Roman" w:eastAsia="宋体"/>
          <w:sz w:val="17"/>
        </w:rPr>
        <w:t>[20] I. Dokuchaev, A. K. Idrees, and R. Schuster, “ELTO: Energy-latency trade-off optimization for machine learning inference with dynamic batching,” in Proc. 23rd Int. Symp. Netw. Comput. Appl. (NCA), 2025, pp. 157–164, doi: 10.1109/NCA67271.2025.00035.</w:t>
      </w:r>
    </w:p>
    <w:p>
      <w:pPr>
        <w:spacing w:line="240" w:lineRule="auto" w:before="0" w:after="0"/>
        <w:ind w:left="420" w:hanging="420"/>
      </w:pPr>
      <w:r>
        <w:rPr>
          <w:rFonts w:ascii="Times New Roman" w:hAnsi="Times New Roman" w:eastAsia="宋体"/>
          <w:sz w:val="17"/>
        </w:rPr>
        <w:t>[21] J. Sun, H. Hao, H. Shi, Z. Su, H. Li, and W. Zhang, “A dynamic co-inference framework for edge-end using discrete Soft Actor-Critic and SLA-aware task batching,” in Proc. Int. Joint Conf. Neural Netw. (IJCNN), 2025, pp. 1–9, doi: 10.1109/IJCNN64981.2025.11229166.</w:t>
      </w:r>
    </w:p>
    <w:p>
      <w:pPr>
        <w:spacing w:line="240" w:lineRule="auto" w:before="0" w:after="0"/>
        <w:ind w:left="420" w:hanging="420"/>
      </w:pPr>
      <w:r>
        <w:rPr>
          <w:rFonts w:ascii="Times New Roman" w:hAnsi="Times New Roman" w:eastAsia="宋体"/>
          <w:sz w:val="17"/>
        </w:rPr>
        <w:t>[22] Z. Wang, H. Li, L. Sun, S. Rosenkrantz, H. Che, and H. Jiang, “A tail latency SLO guaranteed task scheduling scheme for user-facing services,” IEEE Trans. Parallel Distrib. Syst., vol. 36, no. 4, pp. 759–774, Apr. 2025, doi: 10.1109/TPDS.2025.3542638.</w:t>
      </w:r>
    </w:p>
    <w:sectPr>
      <w:headerReference r:id="rId5" w:type="default"/>
      <w:footerReference r:id="rId6" w:type="default"/>
      <w:pgSz w:w="11906" w:h="16838"/>
      <w:pgMar w:top="1440" w:right="1803" w:bottom="1440" w:left="1803"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A4BFE">
    <w:pPr>
      <w:pStyle w:val="24"/>
      <w:jc w:val="right"/>
    </w:pPr>
    <w:r>
      <w:rPr>
        <w:rFonts w:ascii="Calibri" w:hAnsi="Calibri" w:eastAsia="宋体" w:cs="Calibri"/>
        <w:color w:val="6B7280"/>
        <w:sz w:val="18"/>
      </w:rPr>
      <w:fldChar w:fldCharType="begin"/>
    </w:r>
    <w:r>
      <w:rPr>
        <w:rFonts w:ascii="Calibri" w:hAnsi="Calibri" w:eastAsia="宋体" w:cs="Calibri"/>
        <w:color w:val="6B7280"/>
        <w:sz w:val="18"/>
      </w:rPr>
      <w:instrText xml:space="preserve"> PAGE </w:instrText>
    </w:r>
    <w:r>
      <w:rPr>
        <w:rFonts w:ascii="Calibri" w:hAnsi="Calibri" w:eastAsia="宋体" w:cs="Calibri"/>
        <w:color w:val="6B7280"/>
        <w:sz w:val="18"/>
      </w:rPr>
      <w:fldChar w:fldCharType="separate"/>
    </w:r>
    <w:r>
      <w:rPr>
        <w:rFonts w:ascii="Calibri" w:hAnsi="Calibri" w:eastAsia="宋体" w:cs="Calibri"/>
        <w:color w:val="6B7280"/>
        <w:sz w:val="18"/>
      </w:rPr>
      <w:t>1</w:t>
    </w:r>
    <w:r>
      <w:rPr>
        <w:rFonts w:ascii="Calibri" w:hAnsi="Calibri" w:eastAsia="宋体" w:cs="Calibri"/>
        <w:color w:val="6B72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4C478">
    <w:pPr>
      <w:pStyle w:val="25"/>
      <w:jc w:val="center"/>
    </w:pPr>
    <w:r>
      <w:rPr>
        <w:rFonts w:ascii="Times New Roman" w:hAnsi="Times New Roman" w:eastAsia="宋体"/>
        <w:color w:val="696969"/>
        <w:sz w:val="18"/>
      </w:rPr>
      <w:t>论文中文初稿 · Related Work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12802"/>
    <w:rsid w:val="07DA17B4"/>
    <w:rsid w:val="0E533CE4"/>
    <w:rsid w:val="114C66F9"/>
    <w:rsid w:val="195F7277"/>
    <w:rsid w:val="1E002D45"/>
    <w:rsid w:val="2C6170A5"/>
    <w:rsid w:val="2D0D13E0"/>
    <w:rsid w:val="30664F2C"/>
    <w:rsid w:val="3C1165F2"/>
    <w:rsid w:val="3EB50143"/>
    <w:rsid w:val="4AAF1765"/>
    <w:rsid w:val="4B422F21"/>
    <w:rsid w:val="4DD54DA5"/>
    <w:rsid w:val="4E9B3DFF"/>
    <w:rsid w:val="671F5543"/>
    <w:rsid w:val="68DE68A8"/>
    <w:rsid w:val="6C87361A"/>
    <w:rsid w:val="782011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20"/>
      <w:jc w:val="both"/>
    </w:pPr>
    <w:rPr>
      <w:rFonts w:ascii="Times New Roman" w:hAnsi="Times New Roman" w:eastAsia="宋体" w:cs="Calibri"/>
      <w:sz w:val="21"/>
      <w:szCs w:val="22"/>
      <w:lang w:val="en-US" w:eastAsia="en-US" w:bidi="ar-SA"/>
    </w:rPr>
  </w:style>
  <w:style w:type="paragraph" w:styleId="3">
    <w:name w:val="heading 1"/>
    <w:basedOn w:val="1"/>
    <w:next w:val="1"/>
    <w:link w:val="140"/>
    <w:qFormat/>
    <w:uiPriority w:val="9"/>
    <w:pPr>
      <w:keepNext/>
      <w:keepLines/>
      <w:spacing w:before="0" w:after="12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1"/>
    <w:unhideWhenUsed/>
    <w:qFormat/>
    <w:uiPriority w:val="9"/>
    <w:pPr>
      <w:keepNext/>
      <w:keepLines/>
      <w:pageBreakBefore w:val="0"/>
      <w:spacing w:before="160" w:after="8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before="30" w:after="30" w:line="360" w:lineRule="auto"/>
      <w:contextualSpacing/>
      <w:jc w:val="both"/>
    </w:pPr>
    <w:rPr>
      <w:rFonts w:ascii="Times New Roman" w:hAnsi="Times New Roman" w:eastAsia="宋体"/>
      <w:sz w:val="21"/>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Editorial Note"/>
    <w:qFormat/>
    <w:uiPriority w:val="0"/>
    <w:pPr>
      <w:spacing w:before="60" w:after="120" w:line="276" w:lineRule="auto"/>
      <w:ind w:left="198" w:right="198"/>
    </w:pPr>
    <w:rPr>
      <w:rFonts w:ascii="Times New Roman" w:hAnsi="Times New Roman" w:eastAsia="宋体" w:cs="Times New Roman"/>
      <w:color w:val="5A5A5A"/>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3237</Words>
  <Characters>8418</Characters>
  <Lines>0</Lines>
  <Paragraphs>0</Paragraphs>
  <TotalTime>1</TotalTime>
  <ScaleCrop>false</ScaleCrop>
  <LinksUpToDate>false</LinksUpToDate>
  <CharactersWithSpaces>9559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dc:creator>
  <dc:description>generated by python-docx</dc:description>
  <cp:keywords>edge inference, dynamic batching, SLA, tail latency, discrete SAC</cp:keywords>
  <cp:lastModifiedBy>.</cp:lastModifiedBy>
  <dcterms:modified xsi:type="dcterms:W3CDTF">2026-07-26T12:37:18Z</dcterms:modified>
  <dc:subject>与 Introduction 引用编号衔接的 Related Work</dc:subject>
  <dc:title>第二章 相关工作（中文初稿）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eyJoZGlkIjoiNzI3MjRmMzdhYzgzOWJhMzBiY2VlNjM5ZjIwMTQ4ZWUiLCJ1c2VySWQiOiI0OTU0MzUwNTEifQ==</vt:lpwstr>
  </property>
  <property fmtid="{D5CDD505-2E9C-101B-9397-08002B2CF9AE}" pid="3" name="KSOProductBuildVer">
    <vt:lpwstr>2052-12.1.0.26895</vt:lpwstr>
  </property>
  <property fmtid="{D5CDD505-2E9C-101B-9397-08002B2CF9AE}" pid="4" name="ICV">
    <vt:lpwstr>7E11E7B19C9F4F069189DB281AD15981_12</vt:lpwstr>
  </property>
</Properties>
</file>