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ChapterTitle"/>
        <w:spacing w:before="120" w:after="160"/>
        <w:ind w:firstLine="0"/>
        <w:jc w:val="center"/>
      </w:pPr>
      <w:r>
        <w:rPr>
          <w:rFonts w:ascii="Times New Roman" w:hAnsi="Times New Roman" w:eastAsia="Songti SC"/>
          <w:b/>
          <w:color w:val="000000"/>
          <w:sz w:val="36"/>
        </w:rPr>
        <w:t>第二章  相关工作</w:t>
      </w:r>
    </w:p>
    <w:p>
      <w:pPr>
        <w:widowControl/>
        <w:spacing w:line="360" w:lineRule="auto" w:before="0" w:after="40"/>
        <w:ind w:firstLine="480" w:left="0" w:right="0"/>
        <w:jc w:val="both"/>
      </w:pPr>
      <w:r>
        <w:t>现有研究可按任务依赖、服务缓存、容量配置、跨节点协调和卸载结构归纳为五类，表2-1比较代表性工作的关键假设与控制方式。</w:t>
      </w:r>
    </w:p>
    <w:p>
      <w:pPr>
        <w:widowControl/>
        <w:spacing w:line="360" w:lineRule="auto" w:before="0" w:after="40"/>
        <w:ind w:firstLine="480" w:left="0" w:right="0"/>
        <w:jc w:val="both"/>
      </w:pPr>
      <w:r>
        <w:t>a) DAG依赖任务卸载：DAG卸载在服务器选择中显式建模任务先后关系与中间数据。Pan等将依赖感知卸载建模为强化学习问题[19]，CODIA解耦就绪调度与卸载[20]，相关在线及异步DRL方法进一步处理多边缘节点和随机环境[21], [22]。CachOf联合任务优先级、动态缓存与DRL卸载[11]，TF-DDRL利用Transformer捕获工作流长程依赖[23]。这些方法改善了依赖表示与服务器选择，但通常不协调多服务器服务副本，也未专门研究固定总预算下的容量碎片化。</w:t>
      </w:r>
    </w:p>
    <w:p>
      <w:pPr>
        <w:widowControl/>
        <w:spacing w:line="360" w:lineRule="auto" w:before="0" w:after="40"/>
        <w:ind w:firstLine="480" w:left="0" w:right="0"/>
        <w:jc w:val="both"/>
      </w:pPr>
      <w:r>
        <w:t>b) 面向独立任务的服务缓存与卸载：服务缓存保存任务执行所需的程序、运行库、容器镜像或模型组件；目标服务器未驻留服务时，需从云端或邻近副本加载。OREO联合在线服务缓存与任务卸载[8]，后续研究采用DRL、图注意力MARL、联邦学习和分层控制处理随机需求及多节点协作[9], [10], [24]–[26]。为适应缓存与卸载的更新频率差异，多时间尺度方法将周期性缓存更新与逐任务卸载或资源分配分离，以减少迁移和在线求解开销[10], [25], [27]；CAMART进一步结合共享特征与层次知识迁移生成缓存和卸载决策[14]。然而，这类工作多以独立任务或系统效用为目标，尚未同时处理DAG前驱位置、多出口完成时间和固定预算容量异构。</w:t>
      </w:r>
    </w:p>
    <w:p>
      <w:pPr>
        <w:widowControl/>
        <w:spacing w:line="360" w:lineRule="auto" w:before="0" w:after="40"/>
        <w:ind w:firstLine="480" w:left="0" w:right="0"/>
        <w:jc w:val="both"/>
      </w:pPr>
      <w:r>
        <w:t>c) DAG卸载与服务缓存联合优化：Zhao等在服务布局给定且容量受限时优化依赖任务卸载[5]；Shen等在SDN辅助车联网中联合处理依赖卸载与服务缓存[6]；后续研究进一步考虑服务关键性、任务依赖、PPO联合决策以及精确或近似求解[28], [29]。DAOC是本文最直接的学习型对照[7]：其入口cloudlet使用本地DQN选择执行服务器，各cloudlet根据分配至本节点的历史任务服务请求统计与服务加载代价EMA独立更新缓存，并在训练早期采用服务命中引导。上述方法虽然同时考虑依赖与缓存，但主要依赖集中优化、SDN全局状态、当前完整工作负载或各节点独立缓存；其中DAOC不比较跨服务器副本的全网边际价值，因而不能直接解决固定预算容量异构下的副本协调问题。</w:t>
      </w:r>
    </w:p>
    <w:p>
      <w:pPr>
        <w:widowControl/>
        <w:spacing w:line="360" w:lineRule="auto" w:before="0" w:after="40"/>
        <w:ind w:firstLine="480" w:left="0" w:right="0"/>
        <w:jc w:val="both"/>
      </w:pPr>
      <w:r>
        <w:t>d) 异构边缘缓存与协调副本放置：固定总预算容量异构在保持全网缓存槽位总数不变时改变容量的空间分布，从而将总槽位规模与节点容量布局分离。DAOC虽允许每台服务器设置不同容量，但未将固定预算下的容量空间分布作为独立实验变量[7]。跨服务器副本可通过多智能体协作、分层控制、共享特征或周期性中央优化进行协调[9], [10], [14], [27]。现有研究为协调缓存提供了基础，但对固定总预算、无缓存计算节点和DAG依赖同时成立时的副本布局仍缺少受控证据。</w:t>
      </w:r>
    </w:p>
    <w:p>
      <w:pPr>
        <w:widowControl/>
        <w:spacing w:line="360" w:lineRule="auto" w:before="0" w:after="40"/>
        <w:ind w:firstLine="480" w:left="0" w:right="0"/>
        <w:jc w:val="both"/>
      </w:pPr>
      <w:r>
        <w:t>e) 强化学习与结构化任务—服务器决策：DQN近似离散动作价值[15]，Double DQN分离动作选择与目标评价[16]，Dueling网络分解状态价值与动作优势[17]。注意力机制可聚合候选对象[30]，TransEdge、GatMARL和TF-DDRL分别建模边缘节点关系、多智能体协作与工作流依赖[9], [13], [23]。标准Flat Q将服务器绑定为固定动作编号，难以显式共享当前任务与候选服务器之间的匹配函数；现有图注意力和Transformer方法虽然能够表达节点或工作流关系，但尚未与固定预算下的跨服务器副本协调结合。</w:t>
      </w:r>
    </w:p>
    <w:p>
      <w:pPr>
        <w:widowControl/>
        <w:spacing w:line="360" w:lineRule="auto" w:before="0" w:after="40"/>
        <w:ind w:firstLine="480" w:left="0" w:right="0"/>
        <w:jc w:val="both"/>
      </w:pPr>
      <w:r>
        <w:t>综上，现有方法尚未同时解决固定总缓存预算和逐服务器容量约束下的跨服务器副本协调，以及面向DAG就绪任务的显式任务—服务器关系建模。前一缺口使有限缓存槽位难以兼顾服务覆盖与副本冗余，后一缺口使卸载网络难以直接比较任务需求与候选服务器状态。本文围绕这两个缺口展开，具体系统模型与求解方法分别见第三章和第四章。</w:t>
      </w:r>
    </w:p>
    <w:p>
      <w:pPr>
        <w:pStyle w:val="PaperCaption"/>
        <w:keepNext/>
        <w:pageBreakBefore/>
        <w:spacing w:before="160" w:after="80"/>
        <w:ind w:firstLine="0"/>
        <w:jc w:val="center"/>
      </w:pPr>
      <w:r>
        <w:rPr>
          <w:rFonts w:ascii="Times New Roman" w:hAnsi="Times New Roman" w:eastAsia="Songti SC"/>
          <w:b/>
          <w:color w:val="000000"/>
          <w:sz w:val="22"/>
        </w:rPr>
        <w:t>表2-1 代表性研究与本文的定位比较</w:t>
      </w:r>
    </w:p>
    <w:tbl>
      <w:tblPr>
        <w:tblStyle w:val="TableGrid"/>
        <w:tblW w:type="auto" w:w="0"/>
        <w:jc w:val="center"/>
        <w:tblLayout w:type="fixed"/>
        <w:tblLook w:firstColumn="1" w:firstRow="1" w:lastColumn="0" w:lastRow="0" w:noHBand="0" w:noVBand="1" w:val="04A0"/>
      </w:tblPr>
      <w:tblGrid>
        <w:gridCol w:w="1037"/>
        <w:gridCol w:w="547"/>
        <w:gridCol w:w="979"/>
        <w:gridCol w:w="1296"/>
        <w:gridCol w:w="1368"/>
        <w:gridCol w:w="1080"/>
        <w:gridCol w:w="1440"/>
        <w:gridCol w:w="1512"/>
      </w:tblGrid>
      <w:tr>
        <w:trPr>
          <w:cantSplit/>
          <w:tblHeader w:val="true"/>
        </w:trPr>
        <w:tc>
          <w:tcPr>
            <w:tcW w:type="dxa" w:w="1037"/>
            <w:vAlign w:val="center"/>
          </w:tcPr>
          <w:p>
            <w:pPr>
              <w:spacing w:before="0" w:after="0" w:line="240" w:lineRule="auto"/>
              <w:jc w:val="center"/>
            </w:pPr>
            <w:r>
              <w:rPr>
                <w:rFonts w:eastAsia="Songti SC"/>
              </w:rPr>
            </w:r>
            <w:r>
              <w:rPr>
                <w:rFonts w:ascii="Times New Roman" w:hAnsi="Times New Roman" w:eastAsia="Songti SC"/>
                <w:b/>
                <w:sz w:val="13"/>
              </w:rPr>
              <w:t>工作</w:t>
            </w:r>
          </w:p>
        </w:tc>
        <w:tc>
          <w:tcPr>
            <w:tcW w:type="dxa" w:w="547"/>
            <w:vAlign w:val="center"/>
          </w:tcPr>
          <w:p>
            <w:pPr>
              <w:spacing w:before="0" w:after="0" w:line="240" w:lineRule="auto"/>
              <w:jc w:val="center"/>
            </w:pPr>
            <w:r>
              <w:rPr>
                <w:rFonts w:eastAsia="Songti SC"/>
              </w:rPr>
            </w:r>
            <w:r>
              <w:rPr>
                <w:rFonts w:ascii="Times New Roman" w:hAnsi="Times New Roman" w:eastAsia="Songti SC"/>
                <w:b/>
                <w:sz w:val="13"/>
              </w:rPr>
              <w:t>DAG</w:t>
            </w:r>
          </w:p>
        </w:tc>
        <w:tc>
          <w:tcPr>
            <w:tcW w:type="dxa" w:w="979"/>
            <w:vAlign w:val="center"/>
          </w:tcPr>
          <w:p>
            <w:pPr>
              <w:spacing w:before="0" w:after="0" w:line="240" w:lineRule="auto"/>
              <w:jc w:val="center"/>
            </w:pPr>
            <w:r>
              <w:rPr>
                <w:rFonts w:eastAsia="Songti SC"/>
              </w:rPr>
            </w:r>
            <w:r>
              <w:rPr>
                <w:rFonts w:ascii="Times New Roman" w:hAnsi="Times New Roman" w:eastAsia="Songti SC"/>
                <w:b/>
                <w:sz w:val="13"/>
              </w:rPr>
              <w:t>服务缓存</w:t>
            </w:r>
          </w:p>
        </w:tc>
        <w:tc>
          <w:tcPr>
            <w:tcW w:type="dxa" w:w="1296"/>
            <w:vAlign w:val="center"/>
          </w:tcPr>
          <w:p>
            <w:pPr>
              <w:spacing w:before="0" w:after="0" w:line="240" w:lineRule="auto"/>
              <w:jc w:val="center"/>
            </w:pPr>
            <w:r>
              <w:rPr>
                <w:rFonts w:eastAsia="Songti SC"/>
              </w:rPr>
            </w:r>
            <w:r>
              <w:rPr>
                <w:rFonts w:ascii="Times New Roman" w:hAnsi="Times New Roman" w:eastAsia="Songti SC"/>
                <w:b/>
                <w:sz w:val="13"/>
              </w:rPr>
              <w:t>固定预算容量异构</w:t>
            </w:r>
          </w:p>
        </w:tc>
        <w:tc>
          <w:tcPr>
            <w:tcW w:type="dxa" w:w="1368"/>
            <w:vAlign w:val="center"/>
          </w:tcPr>
          <w:p>
            <w:pPr>
              <w:spacing w:before="0" w:after="0" w:line="240" w:lineRule="auto"/>
              <w:jc w:val="center"/>
            </w:pPr>
            <w:r>
              <w:rPr>
                <w:rFonts w:eastAsia="Songti SC"/>
              </w:rPr>
            </w:r>
            <w:r>
              <w:rPr>
                <w:rFonts w:ascii="Times New Roman" w:hAnsi="Times New Roman" w:eastAsia="Songti SC"/>
                <w:b/>
                <w:sz w:val="13"/>
              </w:rPr>
              <w:t>跨服务器副本协调</w:t>
            </w:r>
          </w:p>
        </w:tc>
        <w:tc>
          <w:tcPr>
            <w:tcW w:type="dxa" w:w="1080"/>
            <w:vAlign w:val="center"/>
          </w:tcPr>
          <w:p>
            <w:pPr>
              <w:spacing w:before="0" w:after="0" w:line="240" w:lineRule="auto"/>
              <w:jc w:val="center"/>
            </w:pPr>
            <w:r>
              <w:rPr>
                <w:rFonts w:eastAsia="Songti SC"/>
              </w:rPr>
            </w:r>
            <w:r>
              <w:rPr>
                <w:rFonts w:ascii="Times New Roman" w:hAnsi="Times New Roman" w:eastAsia="Songti SC"/>
                <w:b/>
                <w:sz w:val="13"/>
              </w:rPr>
              <w:t>卸载结构</w:t>
            </w:r>
          </w:p>
        </w:tc>
        <w:tc>
          <w:tcPr>
            <w:tcW w:type="dxa" w:w="1440"/>
            <w:vAlign w:val="center"/>
          </w:tcPr>
          <w:p>
            <w:pPr>
              <w:spacing w:before="0" w:after="0" w:line="240" w:lineRule="auto"/>
              <w:jc w:val="center"/>
            </w:pPr>
            <w:r>
              <w:rPr>
                <w:rFonts w:eastAsia="Songti SC"/>
              </w:rPr>
            </w:r>
            <w:r>
              <w:rPr>
                <w:rFonts w:ascii="Times New Roman" w:hAnsi="Times New Roman" w:eastAsia="Songti SC"/>
                <w:b/>
                <w:sz w:val="13"/>
              </w:rPr>
              <w:t>控制架构</w:t>
            </w:r>
          </w:p>
        </w:tc>
        <w:tc>
          <w:tcPr>
            <w:tcW w:type="dxa" w:w="1512"/>
            <w:vAlign w:val="center"/>
          </w:tcPr>
          <w:p>
            <w:pPr>
              <w:spacing w:before="0" w:after="0" w:line="240" w:lineRule="auto"/>
              <w:jc w:val="center"/>
            </w:pPr>
            <w:r>
              <w:rPr>
                <w:rFonts w:eastAsia="Songti SC"/>
              </w:rPr>
            </w:r>
            <w:r>
              <w:rPr>
                <w:rFonts w:ascii="Times New Roman" w:hAnsi="Times New Roman" w:eastAsia="Songti SC"/>
                <w:b/>
                <w:sz w:val="13"/>
              </w:rPr>
              <w:t>信息边界</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Xu等[8]</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联合优化</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未专门研究</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协同缓存</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在线采样</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去中心化</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当前/历史状态</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Zhao等[5]</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是</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给定/受限</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未专门研究</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集中优化</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集中式</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批量全局信息</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Shen等[6]</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是</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联合优化</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未专门研究</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SDN辅助</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动态规划</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半分布式</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SDN状态</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Yao等[9]</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联合优化</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未专门研究</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多智能体协作</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GatMARL</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分布式代理协作</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数字孪生状态</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Sun等[10]</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联合优化</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未专门研究</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层次决策</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分层DRL</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混合层次</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分层观测</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CachOf[11]</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是</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动态缓存</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未专门研究</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含负载均衡</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DRL</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协同控制</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在线状态</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DAOC[7]</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是</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本地EMA</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K_s允许；非主线</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Flat DQN</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本地卸载+独立缓存</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当前状态与本地历史</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CAMART[14]</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联合优化</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一般资源异构</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MARL协调</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双头MARL</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共享特征+集中资源分配</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数字孪生状态</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TransEdge[13]</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否</w:t>
            </w:r>
          </w:p>
        </w:tc>
        <w:tc>
          <w:tcPr>
            <w:tcW w:type="dxa" w:w="1296"/>
            <w:vAlign w:val="center"/>
          </w:tcPr>
          <w:p>
            <w:pPr>
              <w:spacing w:before="0" w:after="0" w:line="240" w:lineRule="auto"/>
              <w:jc w:val="center"/>
            </w:pPr>
            <w:r>
              <w:rPr>
                <w:rFonts w:eastAsia="Songti SC"/>
              </w:rPr>
            </w:r>
            <w:r>
              <w:rPr>
                <w:rFonts w:ascii="Times New Roman" w:hAnsi="Times New Roman" w:eastAsia="Songti SC"/>
                <w:b w:val="0"/>
                <w:sz w:val="13"/>
              </w:rPr>
              <w:t>不适用</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不适用</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GNN+DRL</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边缘调度</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当前图状态</w:t>
            </w:r>
          </w:p>
        </w:tc>
      </w:tr>
      <w:tr>
        <w:trPr>
          <w:cantSplit/>
        </w:trPr>
        <w:tc>
          <w:tcPr>
            <w:tcW w:type="dxa" w:w="1037"/>
            <w:vAlign w:val="center"/>
          </w:tcPr>
          <w:p>
            <w:pPr>
              <w:spacing w:before="0" w:after="0" w:line="240" w:lineRule="auto"/>
              <w:jc w:val="center"/>
            </w:pPr>
            <w:r>
              <w:rPr>
                <w:rFonts w:eastAsia="Songti SC"/>
              </w:rPr>
            </w:r>
            <w:r>
              <w:rPr>
                <w:rFonts w:ascii="Times New Roman" w:hAnsi="Times New Roman" w:eastAsia="Songti SC"/>
                <w:b w:val="0"/>
                <w:sz w:val="13"/>
              </w:rPr>
              <w:t>OUR</w:t>
            </w:r>
          </w:p>
        </w:tc>
        <w:tc>
          <w:tcPr>
            <w:tcW w:type="dxa" w:w="547"/>
            <w:vAlign w:val="center"/>
          </w:tcPr>
          <w:p>
            <w:pPr>
              <w:spacing w:before="0" w:after="0" w:line="240" w:lineRule="auto"/>
              <w:jc w:val="center"/>
            </w:pPr>
            <w:r>
              <w:rPr>
                <w:rFonts w:eastAsia="Songti SC"/>
              </w:rPr>
            </w:r>
            <w:r>
              <w:rPr>
                <w:rFonts w:ascii="Times New Roman" w:hAnsi="Times New Roman" w:eastAsia="Songti SC"/>
                <w:b w:val="0"/>
                <w:sz w:val="13"/>
              </w:rPr>
              <w:t>是</w:t>
            </w:r>
          </w:p>
        </w:tc>
        <w:tc>
          <w:tcPr>
            <w:tcW w:type="dxa" w:w="979"/>
            <w:vAlign w:val="center"/>
          </w:tcPr>
          <w:p>
            <w:pPr>
              <w:spacing w:before="0" w:after="0" w:line="240" w:lineRule="auto"/>
              <w:jc w:val="center"/>
            </w:pPr>
            <w:r>
              <w:rPr>
                <w:rFonts w:eastAsia="Songti SC"/>
              </w:rPr>
            </w:r>
            <w:r>
              <w:rPr>
                <w:rFonts w:ascii="Times New Roman" w:hAnsi="Times New Roman" w:eastAsia="Songti SC"/>
                <w:b w:val="0"/>
                <w:sz w:val="13"/>
              </w:rPr>
              <w:t>DCC</w:t>
            </w:r>
          </w:p>
        </w:tc>
        <w:tc>
          <w:tcPr>
            <w:tcW w:type="dxa" w:w="1296"/>
            <w:vAlign w:val="center"/>
          </w:tcPr>
          <w:p>
            <w:r>
              <w:t>固定B=8、含K_s=0</w:t>
            </w:r>
          </w:p>
        </w:tc>
        <w:tc>
          <w:tcPr>
            <w:tcW w:type="dxa" w:w="1368"/>
            <w:vAlign w:val="center"/>
          </w:tcPr>
          <w:p>
            <w:pPr>
              <w:spacing w:before="0" w:after="0" w:line="240" w:lineRule="auto"/>
              <w:jc w:val="center"/>
            </w:pPr>
            <w:r>
              <w:rPr>
                <w:rFonts w:eastAsia="Songti SC"/>
              </w:rPr>
            </w:r>
            <w:r>
              <w:rPr>
                <w:rFonts w:ascii="Times New Roman" w:hAnsi="Times New Roman" w:eastAsia="Songti SC"/>
                <w:b w:val="0"/>
                <w:sz w:val="13"/>
              </w:rPr>
              <w:t>全网副本协调</w:t>
            </w:r>
          </w:p>
        </w:tc>
        <w:tc>
          <w:tcPr>
            <w:tcW w:type="dxa" w:w="1080"/>
            <w:vAlign w:val="center"/>
          </w:tcPr>
          <w:p>
            <w:pPr>
              <w:spacing w:before="0" w:after="0" w:line="240" w:lineRule="auto"/>
              <w:jc w:val="center"/>
            </w:pPr>
            <w:r>
              <w:rPr>
                <w:rFonts w:eastAsia="Songti SC"/>
              </w:rPr>
            </w:r>
            <w:r>
              <w:rPr>
                <w:rFonts w:ascii="Times New Roman" w:hAnsi="Times New Roman" w:eastAsia="Songti SC"/>
                <w:b w:val="0"/>
                <w:sz w:val="13"/>
              </w:rPr>
              <w:t>Pairwise PD3QN</w:t>
            </w:r>
          </w:p>
        </w:tc>
        <w:tc>
          <w:tcPr>
            <w:tcW w:type="dxa" w:w="1440"/>
            <w:vAlign w:val="center"/>
          </w:tcPr>
          <w:p>
            <w:pPr>
              <w:spacing w:before="0" w:after="0" w:line="240" w:lineRule="auto"/>
              <w:jc w:val="center"/>
            </w:pPr>
            <w:r>
              <w:rPr>
                <w:rFonts w:eastAsia="Songti SC"/>
              </w:rPr>
            </w:r>
            <w:r>
              <w:rPr>
                <w:rFonts w:ascii="Times New Roman" w:hAnsi="Times New Roman" w:eastAsia="Songti SC"/>
                <w:b w:val="0"/>
                <w:sz w:val="13"/>
              </w:rPr>
              <w:t>低频中央+高频本地</w:t>
            </w:r>
          </w:p>
        </w:tc>
        <w:tc>
          <w:tcPr>
            <w:tcW w:type="dxa" w:w="1512"/>
            <w:vAlign w:val="center"/>
          </w:tcPr>
          <w:p>
            <w:pPr>
              <w:spacing w:before="0" w:after="0" w:line="240" w:lineRule="auto"/>
              <w:jc w:val="center"/>
            </w:pPr>
            <w:r>
              <w:rPr>
                <w:rFonts w:eastAsia="Songti SC"/>
              </w:rPr>
            </w:r>
            <w:r>
              <w:rPr>
                <w:rFonts w:ascii="Times New Roman" w:hAnsi="Times New Roman" w:eastAsia="Songti SC"/>
                <w:b w:val="0"/>
                <w:sz w:val="13"/>
              </w:rPr>
              <w:t>因果决策信息</w:t>
            </w:r>
          </w:p>
        </w:tc>
      </w:tr>
    </w:tbl>
    <w:p>
      <w:pPr>
        <w:spacing w:before="80" w:after="160" w:line="288" w:lineRule="auto"/>
        <w:ind w:firstLine="0"/>
        <w:jc w:val="both"/>
      </w:pPr>
      <w:r>
        <w:t>注：“未专门研究”表示该维度未被设置为论文的独立实验变量；“固定预算容量异构”指Σ_sK_s保持不变时改变容量空间分布。</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Songti SC"/>
        <w:color w:val="404040"/>
        <w:sz w:val="18"/>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ind w:firstLine="0"/>
      <w:jc w:val="right"/>
    </w:pPr>
    <w:r>
      <w:rPr>
        <w:rFonts w:ascii="Times New Roman" w:hAnsi="Times New Roman" w:eastAsia="Songti SC"/>
        <w:sz w:val="17"/>
      </w:rPr>
      <w:t>OUR｜第二章 相关工作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650" w:hanging="4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40"/>
      <w:ind w:firstLine="480"/>
      <w:jc w:val="both"/>
    </w:pPr>
    <w:rPr>
      <w:rFonts w:ascii="Times New Roman" w:hAnsi="Times New Roman" w:eastAsia="Songti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HeaderChar">
    <w:name w:val="Header Char"/>
    <w:basedOn w:val="DefaultParagraphFont"/>
    <w:link w:val="Header"/>
    <w:uiPriority w:val="99"/>
    <w:rsid w:val="00E618BF"/>
    <w:rPr>
      <w:rFonts w:ascii="Times New Roman" w:hAnsi="Times New Roman" w:eastAsia="Songti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rPr>
  </w:style>
  <w:style w:type="character" w:customStyle="1" w:styleId="FooterChar">
    <w:name w:val="Footer Char"/>
    <w:basedOn w:val="DefaultParagraphFont"/>
    <w:link w:val="Footer"/>
    <w:uiPriority w:val="99"/>
    <w:rsid w:val="00E618BF"/>
    <w:rPr>
      <w:rFonts w:ascii="Times New Roman" w:hAnsi="Times New Roman" w:eastAsia="Songti SC"/>
    </w:rPr>
  </w:style>
  <w:style w:type="paragraph" w:styleId="Heading1">
    <w:name w:val="heading 1"/>
    <w:basedOn w:val="Normal"/>
    <w:next w:val="Normal"/>
    <w:link w:val="Heading1Char"/>
    <w:uiPriority w:val="9"/>
    <w:qFormat/>
    <w:rsid w:val="00FC693F"/>
    <w:pPr>
      <w:keepNext/>
      <w:keepLines/>
      <w:spacing w:before="360" w:after="160" w:line="276" w:lineRule="auto"/>
      <w:ind w:firstLine="0"/>
      <w:jc w:val="left"/>
      <w:outlineLvl w:val="0"/>
    </w:pPr>
    <w:rPr>
      <w:rFonts w:asciiTheme="majorHAnsi" w:eastAsiaTheme="majorEastAsia" w:hAnsiTheme="majorHAnsi" w:cstheme="majorBidi" w:ascii="Times New Roman" w:hAnsi="Times New Roman"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ascii="Times New Roman" w:hAnsi="Times New Roman"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ascii="Times New Roman" w:hAnsi="Times New Roman" w:eastAsia="Songti SC"/>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Songti SC"/>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rPr>
  </w:style>
  <w:style w:type="table" w:default="1" w:styleId="TableNormal">
    <w:name w:val="Normal Table"/>
    <w:uiPriority w:val="99"/>
    <w:semiHidden/>
    <w:unhideWhenUsed/>
    <w:rPr>
      <w:rFonts w:ascii="Times New Roman" w:hAnsi="Times New Roman" w:eastAsia="Songti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Songti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rPr>
  </w:style>
  <w:style w:type="paragraph" w:styleId="BodyText">
    <w:name w:val="Body Text"/>
    <w:basedOn w:val="Normal"/>
    <w:link w:val="BodyTextChar"/>
    <w:uiPriority w:val="99"/>
    <w:unhideWhenUsed/>
    <w:rsid w:val="00AA1D8D"/>
    <w:pPr>
      <w:spacing w:after="120"/>
    </w:pPr>
    <w:rPr>
      <w:rFonts w:ascii="Times New Roman" w:hAnsi="Times New Roman" w:eastAsia="Songti SC"/>
    </w:rPr>
  </w:style>
  <w:style w:type="character" w:customStyle="1" w:styleId="BodyTextChar">
    <w:name w:val="Body Text Char"/>
    <w:basedOn w:val="DefaultParagraphFont"/>
    <w:link w:val="BodyText"/>
    <w:uiPriority w:val="99"/>
    <w:rsid w:val="00AA1D8D"/>
    <w:rPr>
      <w:rFonts w:ascii="Times New Roman" w:hAnsi="Times New Roman" w:eastAsia="Songti SC"/>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rPr>
  </w:style>
  <w:style w:type="character" w:customStyle="1" w:styleId="BodyText2Char">
    <w:name w:val="Body Text 2 Char"/>
    <w:basedOn w:val="DefaultParagraphFont"/>
    <w:link w:val="BodyText2"/>
    <w:uiPriority w:val="99"/>
    <w:rsid w:val="00AA1D8D"/>
    <w:rPr>
      <w:rFonts w:ascii="Times New Roman" w:hAnsi="Times New Roman" w:eastAsia="Songti SC"/>
    </w:rPr>
  </w:style>
  <w:style w:type="paragraph" w:styleId="BodyText3">
    <w:name w:val="Body Text 3"/>
    <w:basedOn w:val="Normal"/>
    <w:link w:val="BodyText3Char"/>
    <w:uiPriority w:val="99"/>
    <w:unhideWhenUsed/>
    <w:rsid w:val="00AA1D8D"/>
    <w:pPr>
      <w:spacing w:after="120"/>
    </w:pPr>
    <w:rPr>
      <w:rFonts w:ascii="Times New Roman" w:hAnsi="Times New Roman" w:eastAsia="Songti SC"/>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rPr>
  </w:style>
  <w:style w:type="paragraph" w:styleId="List2">
    <w:name w:val="List 2"/>
    <w:basedOn w:val="Normal"/>
    <w:uiPriority w:val="99"/>
    <w:unhideWhenUsed/>
    <w:rsid w:val="00326F90"/>
    <w:pPr>
      <w:ind w:left="720" w:hanging="360"/>
      <w:contextualSpacing/>
    </w:pPr>
    <w:rPr>
      <w:rFonts w:ascii="Times New Roman" w:hAnsi="Times New Roman" w:eastAsia="Songti SC"/>
    </w:rPr>
  </w:style>
  <w:style w:type="paragraph" w:styleId="List3">
    <w:name w:val="List 3"/>
    <w:basedOn w:val="Normal"/>
    <w:uiPriority w:val="99"/>
    <w:unhideWhenUsed/>
    <w:rsid w:val="00326F90"/>
    <w:pPr>
      <w:ind w:left="1080" w:hanging="360"/>
      <w:contextualSpacing/>
    </w:pPr>
    <w:rPr>
      <w:rFonts w:ascii="Times New Roman" w:hAnsi="Times New Roman" w:eastAsia="Songti SC"/>
    </w:rPr>
  </w:style>
  <w:style w:type="paragraph" w:styleId="ListBullet">
    <w:name w:val="List Bullet"/>
    <w:basedOn w:val="Normal"/>
    <w:uiPriority w:val="99"/>
    <w:unhideWhenUsed/>
    <w:rsid w:val="00326F90"/>
    <w:pPr>
      <w:numPr>
        <w:numId w:val="1"/>
      </w:numPr>
      <w:contextualSpacing/>
    </w:pPr>
    <w:rPr>
      <w:rFonts w:ascii="Times New Roman" w:hAnsi="Times New Roman" w:eastAsia="Songti SC"/>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rPr>
  </w:style>
  <w:style w:type="paragraph" w:styleId="ListNumber">
    <w:name w:val="List Number"/>
    <w:basedOn w:val="Normal"/>
    <w:uiPriority w:val="99"/>
    <w:unhideWhenUsed/>
    <w:rsid w:val="00326F90"/>
    <w:pPr>
      <w:numPr>
        <w:numId w:val="5"/>
      </w:numPr>
      <w:contextualSpacing/>
    </w:pPr>
    <w:rPr>
      <w:rFonts w:ascii="Times New Roman" w:hAnsi="Times New Roman" w:eastAsia="Songti SC"/>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sz w:val="20"/>
      <w:szCs w:val="20"/>
    </w:rPr>
  </w:style>
  <w:style w:type="paragraph" w:styleId="Quote">
    <w:name w:val="Quote"/>
    <w:basedOn w:val="Normal"/>
    <w:next w:val="Normal"/>
    <w:link w:val="QuoteChar"/>
    <w:uiPriority w:val="29"/>
    <w:qFormat/>
    <w:rsid w:val="00FC693F"/>
    <w:rPr>
      <w:rFonts w:ascii="Times New Roman" w:hAnsi="Times New Roman" w:eastAsia="Songti SC"/>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ongti SC"/>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Songti SC"/>
      <w:b/>
      <w:bCs/>
    </w:rPr>
  </w:style>
  <w:style w:type="character" w:styleId="Emphasis">
    <w:name w:val="Emphasis"/>
    <w:basedOn w:val="DefaultParagraphFont"/>
    <w:uiPriority w:val="20"/>
    <w:qFormat/>
    <w:rsid w:val="00FC693F"/>
    <w:rPr>
      <w:rFonts w:ascii="Times New Roman" w:hAnsi="Times New Roman" w:eastAsia="Songti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rPr>
  </w:style>
  <w:style w:type="table" w:styleId="TableGrid">
    <w:name w:val="Table Grid"/>
    <w:basedOn w:val="TableNormal"/>
    <w:uiPriority w:val="59"/>
    <w:rsid w:val="00FC693F"/>
    <w:pPr>
      <w:spacing w:after="0" w:line="240" w:lineRule="auto"/>
    </w:pPr>
    <w:rPr>
      <w:rFonts w:ascii="Times New Roman" w:hAnsi="Times New Roman" w:eastAsia="Songti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eastAsia="Songti SC"/>
        <w:b/>
        <w:bCs/>
      </w:rPr>
    </w:tblStylePr>
    <w:tblStylePr w:type="lastCol">
      <w:rPr>
        <w:rFonts w:asciiTheme="majorHAnsi" w:eastAsiaTheme="majorEastAsia"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raft">
    <w:name w:val="Equation Draft"/>
    <w:pPr>
      <w:spacing w:before="100" w:after="100" w:line="276" w:lineRule="auto"/>
      <w:ind w:firstLine="0"/>
    </w:pPr>
    <w:rPr>
      <w:rFonts w:ascii="Times New Roman" w:hAnsi="Times New Roman" w:eastAsia="Songti SC"/>
      <w:color w:val="000000"/>
      <w:sz w:val="23"/>
    </w:rPr>
  </w:style>
  <w:style w:type="paragraph" w:customStyle="1" w:styleId="PaperChapterTitle">
    <w:name w:val="Paper Chapter Title"/>
    <w:basedOn w:val="Normal"/>
    <w:pPr>
      <w:keepNext/>
      <w:spacing w:line="240" w:lineRule="auto" w:before="120" w:after="160"/>
      <w:ind w:firstLine="0"/>
      <w:jc w:val="center"/>
    </w:pPr>
    <w:rPr>
      <w:rFonts w:ascii="Times New Roman" w:hAnsi="Times New Roman" w:eastAsia="Songti SC"/>
      <w:b/>
      <w:color w:val="000000"/>
      <w:sz w:val="36"/>
    </w:rPr>
  </w:style>
  <w:style w:type="paragraph" w:customStyle="1" w:styleId="PaperSubtitle">
    <w:name w:val="Paper Subtitle"/>
    <w:basedOn w:val="Normal"/>
    <w:pPr>
      <w:keepNext/>
      <w:spacing w:line="240" w:lineRule="auto" w:before="0" w:after="360"/>
      <w:ind w:firstLine="0"/>
      <w:jc w:val="center"/>
    </w:pPr>
    <w:rPr>
      <w:rFonts w:ascii="Times New Roman" w:hAnsi="Times New Roman" w:eastAsia="Songti SC"/>
      <w:color w:val="404040"/>
      <w:sz w:val="21"/>
    </w:rPr>
  </w:style>
  <w:style w:type="paragraph" w:customStyle="1" w:styleId="PaperCaption">
    <w:name w:val="Paper Caption"/>
    <w:basedOn w:val="Normal"/>
    <w:pPr>
      <w:keepNext/>
      <w:spacing w:line="240" w:lineRule="auto" w:before="200" w:after="100"/>
      <w:ind w:firstLine="0"/>
      <w:jc w:val="center"/>
    </w:pPr>
    <w:rPr>
      <w:rFonts w:ascii="Times New Roman" w:hAnsi="Times New Roman" w:eastAsia="Songti SC"/>
      <w:b/>
      <w:color w:val="000000"/>
      <w:sz w:val="22"/>
    </w:rPr>
  </w:style>
  <w:style w:type="paragraph" w:customStyle="1" w:styleId="PaperReference">
    <w:name w:val="Paper Reference"/>
    <w:basedOn w:val="Normal"/>
    <w:pPr>
      <w:spacing w:line="240" w:lineRule="auto" w:before="0" w:after="60"/>
      <w:ind w:hanging="460" w:left="640"/>
      <w:jc w:val="both"/>
    </w:pPr>
    <w:rPr>
      <w:rFonts w:ascii="Times New Roman" w:hAnsi="Times New Roman" w:eastAsia="Songti SC"/>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第2章_相关工作_学术表达清理版_20260824</dc:title>
  <dc:subject>统一命名、跨章引用和证据边界</dc:subject>
  <dc:creator>HERO-DAG research draft</dc:creator>
  <cp:keywords/>
  <dc:description>Generated from the frozen Pegasus B8 protocol.</dc:description>
  <cp:lastModifiedBy/>
  <cp:revision>1</cp:revision>
  <dcterms:created xsi:type="dcterms:W3CDTF">2013-12-23T23:15:00Z</dcterms:created>
  <dcterms:modified xsi:type="dcterms:W3CDTF">2013-12-23T23:15:00Z</dcterms:modified>
  <cp:category/>
</cp:coreProperties>
</file>