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 w:eastAsia="Aptos Display"/>
          <w:b/>
          <w:color w:val="111827"/>
          <w:sz w:val="52"/>
        </w:rPr>
        <w:t>Frecuencia Global</w:t>
      </w:r>
    </w:p>
    <w:p>
      <w:pPr>
        <w:jc w:val="center"/>
      </w:pPr>
      <w:r>
        <w:rPr>
          <w:rFonts w:ascii="Aptos" w:hAnsi="Aptos" w:eastAsia="Aptos"/>
          <w:b w:val="0"/>
          <w:color w:val="00A8C6"/>
          <w:sz w:val="26"/>
        </w:rPr>
        <w:t>Core Visual System v1 y Manual Operativo de Implementación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0" w:space="0" w:color="00E5FF"/>
          <w:left w:val="single" w:sz="0" w:space="0" w:color="00E5FF"/>
          <w:bottom w:val="single" w:sz="0" w:space="0" w:color="00E5FF"/>
          <w:right w:val="single" w:sz="0" w:space="0" w:color="00E5FF"/>
          <w:insideH w:val="single" w:sz="0" w:space="0" w:color="00E5FF"/>
          <w:insideV w:val="single" w:sz="0" w:space="0" w:color="00E5FF"/>
        </w:tblBorders>
      </w:tblPr>
      <w:tblGrid>
        <w:gridCol w:w="9936"/>
      </w:tblGrid>
      <w:tr>
        <w:tc>
          <w:tcPr>
            <w:tcW w:type="dxa" w:w="6912"/>
            <w:shd w:fill="00E5FF"/>
          </w:tcPr>
          <w:p/>
        </w:tc>
      </w:tr>
    </w:tbl>
    <w:p>
      <w:pPr>
        <w:spacing w:after="80"/>
        <w:jc w:val="center"/>
      </w:pPr>
      <w:r>
        <w:rPr>
          <w:b w:val="0"/>
          <w:color w:val="374151"/>
          <w:sz w:val="21"/>
        </w:rPr>
        <w:t>Documento consolidado para ejecución manual en Canva. Alcance: sistema visual, activos, plantillas, overlays y control de calidad.</w:t>
      </w:r>
    </w:p>
    <w:p>
      <w:pPr>
        <w:spacing w:after="80"/>
        <w:jc w:val="center"/>
      </w:pPr>
      <w:r>
        <w:rPr>
          <w:b w:val="0"/>
          <w:color w:val="374151"/>
          <w:sz w:val="21"/>
        </w:rPr>
        <w:t>Uso recomendado: referencia oficial de trabajo para producción de piezas y montaje del brand kit.</w:t>
      </w:r>
    </w:p>
    <w:p>
      <w:pPr>
        <w:spacing w:after="160"/>
        <w:jc w:val="center"/>
      </w:pPr>
      <w:r>
        <w:rPr>
          <w:b w:val="0"/>
          <w:color w:val="6B7280"/>
          <w:sz w:val="19"/>
        </w:rPr>
        <w:t>Fecha: 25 de marzo de 2026</w:t>
      </w:r>
    </w:p>
    <w:p>
      <w:r>
        <w:br w:type="page"/>
      </w:r>
    </w:p>
    <w:p>
      <w:pPr>
        <w:pStyle w:val="Heading1"/>
        <w:spacing w:after="60"/>
      </w:pPr>
      <w:r>
        <w:rPr>
          <w:b w:val="0"/>
        </w:rPr>
        <w:t>DOCUMENTO 1</w:t>
      </w:r>
    </w:p>
    <w:p>
      <w:pPr>
        <w:pStyle w:val="Title"/>
        <w:spacing w:after="60"/>
      </w:pPr>
      <w:r>
        <w:rPr>
          <w:b w:val="0"/>
          <w:color w:val="111827"/>
        </w:rPr>
        <w:t>Frecuencia Global — Core Visual System v1</w:t>
      </w:r>
    </w:p>
    <w:p>
      <w:pPr>
        <w:pStyle w:val="Heading1"/>
        <w:spacing w:after="60"/>
      </w:pPr>
      <w:r>
        <w:rPr>
          <w:b w:val="0"/>
        </w:rPr>
        <w:t>Resumen ejecutivo</w:t>
      </w:r>
    </w:p>
    <w:p>
      <w:pPr>
        <w:spacing w:after="60"/>
      </w:pPr>
      <w:r>
        <w:rPr>
          <w:b w:val="0"/>
        </w:rPr>
        <w:t>Frecuencia Global es una plataforma editorial que traduce geopolítica y actualidad internacional a un lenguaje visual contemporáneo, legible y de alto contraste.</w:t>
      </w:r>
    </w:p>
    <w:p>
      <w:pPr>
        <w:spacing w:after="60"/>
      </w:pPr>
      <w:r>
        <w:rPr>
          <w:b w:val="0"/>
        </w:rPr>
        <w:t>La referencia electrónica es exclusivamente estética: aporta energía, ritmo y tensión visual, pero no debe convertir la marca en una pieza promocional musical.</w:t>
      </w:r>
    </w:p>
    <w:p>
      <w:pPr>
        <w:spacing w:after="60"/>
      </w:pPr>
      <w:r>
        <w:rPr>
          <w:b w:val="0"/>
        </w:rPr>
        <w:t>La información es el centro del sistema. Líneas, nodos, corchetes y contenedores sirven para ordenar, jerarquizar y hacer escaneable el contenido.</w:t>
      </w:r>
    </w:p>
    <w:p>
      <w:pPr>
        <w:spacing w:after="60"/>
      </w:pPr>
      <w:r>
        <w:rPr>
          <w:b w:val="0"/>
        </w:rPr>
        <w:t>El lenguaje visual debe sentirse editorial, tecnológico y geopolítico: serio, sobrio y preciso, con predominio de fondos oscuros y uso controlado del color.</w:t>
      </w:r>
    </w:p>
    <w:p>
      <w:pPr>
        <w:pStyle w:val="Heading1"/>
        <w:spacing w:after="60"/>
      </w:pPr>
      <w:r>
        <w:rPr>
          <w:b w:val="0"/>
        </w:rPr>
        <w:t>Brand kit documentado</w:t>
      </w:r>
    </w:p>
    <w:p>
      <w:pPr>
        <w:spacing w:after="60"/>
      </w:pPr>
      <w:r>
        <w:rPr>
          <w:b/>
        </w:rPr>
        <w:t>Nombre oficial del sistema: Frecuencia Global — Core Visual System v1</w:t>
      </w:r>
    </w:p>
    <w:p>
      <w:pPr>
        <w:pStyle w:val="Heading2"/>
        <w:spacing w:after="60"/>
      </w:pPr>
      <w:r>
        <w:rPr>
          <w:b w:val="0"/>
        </w:rPr>
        <w:t>Paleta y función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1E8"/>
          <w:left w:val="single" w:sz="4" w:space="0" w:color="D9E1E8"/>
          <w:bottom w:val="single" w:sz="4" w:space="0" w:color="D9E1E8"/>
          <w:right w:val="single" w:sz="4" w:space="0" w:color="D9E1E8"/>
          <w:insideH w:val="single" w:sz="4" w:space="0" w:color="D9E1E8"/>
          <w:insideV w:val="single" w:sz="4" w:space="0" w:color="D9E1E8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A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/>
                <w:color w:val="111827"/>
                <w:sz w:val="22"/>
              </w:rPr>
              <w:t>Grupo</w:t>
            </w:r>
          </w:p>
        </w:tc>
        <w:tc>
          <w:tcPr>
            <w:tcW w:type="dxa" w:w="2484"/>
            <w:shd w:fill="EA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/>
                <w:color w:val="111827"/>
                <w:sz w:val="22"/>
              </w:rPr>
              <w:t>Color</w:t>
            </w:r>
          </w:p>
        </w:tc>
        <w:tc>
          <w:tcPr>
            <w:tcW w:type="dxa" w:w="2484"/>
            <w:shd w:fill="EA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/>
                <w:color w:val="111827"/>
                <w:sz w:val="22"/>
              </w:rPr>
              <w:t>Hex</w:t>
            </w:r>
          </w:p>
        </w:tc>
        <w:tc>
          <w:tcPr>
            <w:tcW w:type="dxa" w:w="2484"/>
            <w:shd w:fill="EA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/>
                <w:color w:val="111827"/>
                <w:sz w:val="22"/>
              </w:rPr>
              <w:t>Uso principal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Primaria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Negro profundo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/>
                <w:color w:val="00A8C6"/>
                <w:sz w:val="22"/>
              </w:rPr>
              <w:t>#0A0A0F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Fondo principal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Primaria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Gris carbón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/>
                <w:color w:val="00A8C6"/>
                <w:sz w:val="22"/>
              </w:rPr>
              <w:t>#12141A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Fondos secundarios y contenedores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Primaria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Blanco roto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/>
                <w:color w:val="00A8C6"/>
                <w:sz w:val="22"/>
              </w:rPr>
              <w:t>#F5F7FA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Texto principal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Primaria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Cian principal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/>
                <w:color w:val="00A8C6"/>
                <w:sz w:val="22"/>
              </w:rPr>
              <w:t>#00E5FF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Estructura de marca, líneas y acento primario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Secundaria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Magenta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/>
                <w:color w:val="00A8C6"/>
                <w:sz w:val="22"/>
              </w:rPr>
              <w:t>#FF00E5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Uso exclusivo de Bass &amp; Borders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Secundaria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Verde ácido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/>
                <w:color w:val="00A8C6"/>
                <w:sz w:val="22"/>
              </w:rPr>
              <w:t>#B8FF00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Noticias rápidas, alertas y highlights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Secundaria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Azul policy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/>
                <w:color w:val="00A8C6"/>
                <w:sz w:val="22"/>
              </w:rPr>
              <w:t>#2D4BFF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Behind the Policy y análisis institucional</w:t>
            </w:r>
          </w:p>
        </w:tc>
      </w:tr>
    </w:tbl>
    <w:p>
      <w:pPr>
        <w:pStyle w:val="Heading2"/>
        <w:spacing w:after="60"/>
      </w:pPr>
      <w:r>
        <w:rPr>
          <w:b w:val="0"/>
        </w:rPr>
        <w:t>Reglas de color y composición</w:t>
      </w:r>
    </w:p>
    <w:p>
      <w:pPr>
        <w:pStyle w:val="ListBullet"/>
        <w:spacing w:after="20"/>
      </w:pPr>
      <w:r>
        <w:t>El color estructural principal siempre es el cian.</w:t>
      </w:r>
    </w:p>
    <w:p>
      <w:pPr>
        <w:pStyle w:val="ListBullet"/>
        <w:spacing w:after="20"/>
      </w:pPr>
      <w:r>
        <w:t>Máximo dos colores de acento por pieza: cian más el color del pilar correspondiente.</w:t>
      </w:r>
    </w:p>
    <w:p>
      <w:pPr>
        <w:pStyle w:val="ListBullet"/>
        <w:spacing w:after="20"/>
      </w:pPr>
      <w:r>
        <w:t>La composición debe priorizar aire, contraste y predominio de fondo oscuro.</w:t>
      </w:r>
    </w:p>
    <w:p>
      <w:pPr>
        <w:pStyle w:val="ListBullet"/>
        <w:spacing w:after="20"/>
      </w:pPr>
      <w:r>
        <w:t>Los colores de acento no deben usarse como fondos sólidos de área grande; se reservan para tipografía, líneas, nodos, etiquetas y contornos.</w:t>
      </w:r>
    </w:p>
    <w:p>
      <w:pPr>
        <w:pStyle w:val="ListBullet"/>
        <w:spacing w:after="20"/>
      </w:pPr>
      <w:r>
        <w:t>Evitar glow evidente; cualquier brillo debe ser casi imperceptible.</w:t>
      </w:r>
    </w:p>
    <w:p>
      <w:pPr>
        <w:pStyle w:val="Heading2"/>
        <w:spacing w:after="60"/>
      </w:pPr>
      <w:r>
        <w:rPr>
          <w:b w:val="0"/>
        </w:rPr>
        <w:t>Tipografía y jerarquía</w:t>
      </w:r>
    </w:p>
    <w:p>
      <w:pPr>
        <w:spacing w:after="60"/>
      </w:pPr>
      <w:r>
        <w:rPr>
          <w:b w:val="0"/>
        </w:rPr>
        <w:t>H1: Anton, Bebas Neue o League Spartan Bold. Uso en mayúsculas, dominante, una o dos líneas máximo.</w:t>
      </w:r>
    </w:p>
    <w:p>
      <w:pPr>
        <w:spacing w:after="60"/>
      </w:pPr>
      <w:r>
        <w:rPr>
          <w:b w:val="0"/>
        </w:rPr>
        <w:t>H2: Inter SemiBold o Manrope SemiBold. Función explicativa y de apoyo al titular.</w:t>
      </w:r>
    </w:p>
    <w:p>
      <w:pPr>
        <w:spacing w:after="60"/>
      </w:pPr>
      <w:r>
        <w:rPr>
          <w:b w:val="0"/>
        </w:rPr>
        <w:t>Body: Inter o Manrope Regular. Interlineado cómodo y alto contraste.</w:t>
      </w:r>
    </w:p>
    <w:p>
      <w:pPr>
        <w:spacing w:after="60"/>
      </w:pPr>
      <w:r>
        <w:rPr>
          <w:b w:val="0"/>
        </w:rPr>
        <w:t>Microtexto: Inter Bold en mayúsculas con tracking amplio para etiquetas, fechas, región y categoría.</w:t>
      </w:r>
    </w:p>
    <w:p>
      <w:pPr>
        <w:pStyle w:val="Heading2"/>
        <w:spacing w:after="60"/>
      </w:pPr>
      <w:r>
        <w:rPr>
          <w:b w:val="0"/>
        </w:rPr>
        <w:t>Restricciones visuales</w:t>
      </w:r>
    </w:p>
    <w:p>
      <w:pPr>
        <w:pStyle w:val="ListBullet"/>
        <w:spacing w:after="20"/>
      </w:pPr>
      <w:r>
        <w:t>No parecer flyer de evento, póster rave ni promo musical.</w:t>
      </w:r>
    </w:p>
    <w:p>
      <w:pPr>
        <w:pStyle w:val="ListBullet"/>
        <w:spacing w:after="20"/>
      </w:pPr>
      <w:r>
        <w:t>No abusar de magenta fuera de Bass &amp; Borders.</w:t>
      </w:r>
    </w:p>
    <w:p>
      <w:pPr>
        <w:pStyle w:val="ListBullet"/>
        <w:spacing w:after="20"/>
      </w:pPr>
      <w:r>
        <w:t>No usar texturas grunge, ruido excesivo ni elementos 3D hiperrealistas.</w:t>
      </w:r>
    </w:p>
    <w:p>
      <w:pPr>
        <w:pStyle w:val="ListBullet"/>
        <w:spacing w:after="20"/>
      </w:pPr>
      <w:r>
        <w:t>No saturar layouts ni encadenar demasiados efectos visuales en una sola pieza.</w:t>
      </w:r>
    </w:p>
    <w:p>
      <w:pPr>
        <w:pStyle w:val="Heading1"/>
        <w:spacing w:after="60"/>
      </w:pPr>
      <w:r>
        <w:rPr>
          <w:b w:val="0"/>
        </w:rPr>
        <w:t>Inventario de activos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1E8"/>
          <w:left w:val="single" w:sz="4" w:space="0" w:color="D9E1E8"/>
          <w:bottom w:val="single" w:sz="4" w:space="0" w:color="D9E1E8"/>
          <w:right w:val="single" w:sz="4" w:space="0" w:color="D9E1E8"/>
          <w:insideH w:val="single" w:sz="4" w:space="0" w:color="D9E1E8"/>
          <w:insideV w:val="single" w:sz="4" w:space="0" w:color="D9E1E8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EAF6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/>
                <w:color w:val="111827"/>
                <w:sz w:val="22"/>
              </w:rPr>
              <w:t>Activo</w:t>
            </w:r>
          </w:p>
        </w:tc>
        <w:tc>
          <w:tcPr>
            <w:tcW w:type="dxa" w:w="1987"/>
            <w:shd w:fill="EAF6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/>
                <w:color w:val="111827"/>
                <w:sz w:val="22"/>
              </w:rPr>
              <w:t>Función</w:t>
            </w:r>
          </w:p>
        </w:tc>
        <w:tc>
          <w:tcPr>
            <w:tcW w:type="dxa" w:w="1987"/>
            <w:shd w:fill="EAF6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/>
                <w:color w:val="111827"/>
                <w:sz w:val="22"/>
              </w:rPr>
              <w:t>Uso recomendado</w:t>
            </w:r>
          </w:p>
        </w:tc>
        <w:tc>
          <w:tcPr>
            <w:tcW w:type="dxa" w:w="1987"/>
            <w:shd w:fill="EAF6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/>
                <w:color w:val="111827"/>
                <w:sz w:val="22"/>
              </w:rPr>
              <w:t>Variantes</w:t>
            </w:r>
          </w:p>
        </w:tc>
        <w:tc>
          <w:tcPr>
            <w:tcW w:type="dxa" w:w="1987"/>
            <w:shd w:fill="EAF6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/>
                <w:color w:val="111827"/>
                <w:sz w:val="22"/>
              </w:rPr>
              <w:t>Nombre sugerido</w:t>
            </w:r>
          </w:p>
        </w:tc>
      </w:tr>
      <w:tr>
        <w:tc>
          <w:tcPr>
            <w:tcW w:type="dxa" w:w="19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Logo principal</w:t>
            </w:r>
          </w:p>
        </w:tc>
        <w:tc>
          <w:tcPr>
            <w:tcW w:type="dxa" w:w="19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Identidad corporativa</w:t>
            </w:r>
          </w:p>
        </w:tc>
        <w:tc>
          <w:tcPr>
            <w:tcW w:type="dxa" w:w="19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Cabeceras y piezas oficiales</w:t>
            </w:r>
          </w:p>
        </w:tc>
        <w:tc>
          <w:tcPr>
            <w:tcW w:type="dxa" w:w="19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Blanco, negro, cian</w:t>
            </w:r>
          </w:p>
        </w:tc>
        <w:tc>
          <w:tcPr>
            <w:tcW w:type="dxa" w:w="19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FG_Logo_Primary_[Color]</w:t>
            </w:r>
          </w:p>
        </w:tc>
      </w:tr>
      <w:tr>
        <w:tc>
          <w:tcPr>
            <w:tcW w:type="dxa" w:w="19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Isotipo</w:t>
            </w:r>
          </w:p>
        </w:tc>
        <w:tc>
          <w:tcPr>
            <w:tcW w:type="dxa" w:w="19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Avatar y marca de esquina</w:t>
            </w:r>
          </w:p>
        </w:tc>
        <w:tc>
          <w:tcPr>
            <w:tcW w:type="dxa" w:w="19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Perfil, overlays y marca de agua</w:t>
            </w:r>
          </w:p>
        </w:tc>
        <w:tc>
          <w:tcPr>
            <w:tcW w:type="dxa" w:w="19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Blanco, cian, verde ácido</w:t>
            </w:r>
          </w:p>
        </w:tc>
        <w:tc>
          <w:tcPr>
            <w:tcW w:type="dxa" w:w="19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FG_Icon_[Color]</w:t>
            </w:r>
          </w:p>
        </w:tc>
      </w:tr>
      <w:tr>
        <w:tc>
          <w:tcPr>
            <w:tcW w:type="dxa" w:w="19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Línea cian</w:t>
            </w:r>
          </w:p>
        </w:tc>
        <w:tc>
          <w:tcPr>
            <w:tcW w:type="dxa" w:w="19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División estructural</w:t>
            </w:r>
          </w:p>
        </w:tc>
        <w:tc>
          <w:tcPr>
            <w:tcW w:type="dxa" w:w="19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Separar bloques y secciones</w:t>
            </w:r>
          </w:p>
        </w:tc>
        <w:tc>
          <w:tcPr>
            <w:tcW w:type="dxa" w:w="19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1 px, 2 px, 4 px</w:t>
            </w:r>
          </w:p>
        </w:tc>
        <w:tc>
          <w:tcPr>
            <w:tcW w:type="dxa" w:w="19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FG_Element_CyanLine_[Size]</w:t>
            </w:r>
          </w:p>
        </w:tc>
      </w:tr>
      <w:tr>
        <w:tc>
          <w:tcPr>
            <w:tcW w:type="dxa" w:w="19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Nodo</w:t>
            </w:r>
          </w:p>
        </w:tc>
        <w:tc>
          <w:tcPr>
            <w:tcW w:type="dxa" w:w="19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Marcador analítico</w:t>
            </w:r>
          </w:p>
        </w:tc>
        <w:tc>
          <w:tcPr>
            <w:tcW w:type="dxa" w:w="19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Listas, módulos y metadatos</w:t>
            </w:r>
          </w:p>
        </w:tc>
        <w:tc>
          <w:tcPr>
            <w:tcW w:type="dxa" w:w="19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Cian, blanco roto</w:t>
            </w:r>
          </w:p>
        </w:tc>
        <w:tc>
          <w:tcPr>
            <w:tcW w:type="dxa" w:w="19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FG_Element_Node_[Color]</w:t>
            </w:r>
          </w:p>
        </w:tc>
      </w:tr>
      <w:tr>
        <w:tc>
          <w:tcPr>
            <w:tcW w:type="dxa" w:w="19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Corchetes</w:t>
            </w:r>
          </w:p>
        </w:tc>
        <w:tc>
          <w:tcPr>
            <w:tcW w:type="dxa" w:w="19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Enmarcar datos y etiquetas</w:t>
            </w:r>
          </w:p>
        </w:tc>
        <w:tc>
          <w:tcPr>
            <w:tcW w:type="dxa" w:w="19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Labels de serie y cifras clave</w:t>
            </w:r>
          </w:p>
        </w:tc>
        <w:tc>
          <w:tcPr>
            <w:tcW w:type="dxa" w:w="19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Finos, gruesos</w:t>
            </w:r>
          </w:p>
        </w:tc>
        <w:tc>
          <w:tcPr>
            <w:tcW w:type="dxa" w:w="19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FG_Element_Brackets_[Style]</w:t>
            </w:r>
          </w:p>
        </w:tc>
      </w:tr>
      <w:tr>
        <w:tc>
          <w:tcPr>
            <w:tcW w:type="dxa" w:w="19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Barra de metadatos</w:t>
            </w:r>
          </w:p>
        </w:tc>
        <w:tc>
          <w:tcPr>
            <w:tcW w:type="dxa" w:w="19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Contenedor informativo</w:t>
            </w:r>
          </w:p>
        </w:tc>
        <w:tc>
          <w:tcPr>
            <w:tcW w:type="dxa" w:w="19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Fecha, región, categoría</w:t>
            </w:r>
          </w:p>
        </w:tc>
        <w:tc>
          <w:tcPr>
            <w:tcW w:type="dxa" w:w="19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Contorno cian, relleno gris</w:t>
            </w:r>
          </w:p>
        </w:tc>
        <w:tc>
          <w:tcPr>
            <w:tcW w:type="dxa" w:w="19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FG_UI_MetadataBar_[Style]</w:t>
            </w:r>
          </w:p>
        </w:tc>
      </w:tr>
      <w:tr>
        <w:tc>
          <w:tcPr>
            <w:tcW w:type="dxa" w:w="19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Cápsula keyword</w:t>
            </w:r>
          </w:p>
        </w:tc>
        <w:tc>
          <w:tcPr>
            <w:tcW w:type="dxa" w:w="19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Resaltar concepto</w:t>
            </w:r>
          </w:p>
        </w:tc>
        <w:tc>
          <w:tcPr>
            <w:tcW w:type="dxa" w:w="19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Tema clave o alertas</w:t>
            </w:r>
          </w:p>
        </w:tc>
        <w:tc>
          <w:tcPr>
            <w:tcW w:type="dxa" w:w="19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Verde, cian, magenta</w:t>
            </w:r>
          </w:p>
        </w:tc>
        <w:tc>
          <w:tcPr>
            <w:tcW w:type="dxa" w:w="19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FG_UI_KeywordPill_[Color]</w:t>
            </w:r>
          </w:p>
        </w:tc>
      </w:tr>
      <w:tr>
        <w:tc>
          <w:tcPr>
            <w:tcW w:type="dxa" w:w="19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Marco fotográfico</w:t>
            </w:r>
          </w:p>
        </w:tc>
        <w:tc>
          <w:tcPr>
            <w:tcW w:type="dxa" w:w="19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Contener imagen</w:t>
            </w:r>
          </w:p>
        </w:tc>
        <w:tc>
          <w:tcPr>
            <w:tcW w:type="dxa" w:w="19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Mapas, retratos, gráficos</w:t>
            </w:r>
          </w:p>
        </w:tc>
        <w:tc>
          <w:tcPr>
            <w:tcW w:type="dxa" w:w="19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Contorno simple y esquinas</w:t>
            </w:r>
          </w:p>
        </w:tc>
        <w:tc>
          <w:tcPr>
            <w:tcW w:type="dxa" w:w="19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FG_UI_PhotoFrame_[Style]</w:t>
            </w:r>
          </w:p>
        </w:tc>
      </w:tr>
      <w:tr>
        <w:tc>
          <w:tcPr>
            <w:tcW w:type="dxa" w:w="19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Marco de cita</w:t>
            </w:r>
          </w:p>
        </w:tc>
        <w:tc>
          <w:tcPr>
            <w:tcW w:type="dxa" w:w="19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Destacar declaración</w:t>
            </w:r>
          </w:p>
        </w:tc>
        <w:tc>
          <w:tcPr>
            <w:tcW w:type="dxa" w:w="19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Quotes editoriales</w:t>
            </w:r>
          </w:p>
        </w:tc>
        <w:tc>
          <w:tcPr>
            <w:tcW w:type="dxa" w:w="19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Versión limpia y versión con comillas opacas</w:t>
            </w:r>
          </w:p>
        </w:tc>
        <w:tc>
          <w:tcPr>
            <w:tcW w:type="dxa" w:w="19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FG_UI_QuoteFrame_[Style]</w:t>
            </w:r>
          </w:p>
        </w:tc>
      </w:tr>
      <w:tr>
        <w:tc>
          <w:tcPr>
            <w:tcW w:type="dxa" w:w="19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Overlay reel</w:t>
            </w:r>
          </w:p>
        </w:tc>
        <w:tc>
          <w:tcPr>
            <w:tcW w:type="dxa" w:w="19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HUD para video corto</w:t>
            </w:r>
          </w:p>
        </w:tc>
        <w:tc>
          <w:tcPr>
            <w:tcW w:type="dxa" w:w="19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TikTok, Reels, Shorts</w:t>
            </w:r>
          </w:p>
        </w:tc>
        <w:tc>
          <w:tcPr>
            <w:tcW w:type="dxa" w:w="19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Minimal y full</w:t>
            </w:r>
          </w:p>
        </w:tc>
        <w:tc>
          <w:tcPr>
            <w:tcW w:type="dxa" w:w="19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FG_Overlay_Reel_[Type]</w:t>
            </w:r>
          </w:p>
        </w:tc>
      </w:tr>
    </w:tbl>
    <w:p>
      <w:pPr>
        <w:pStyle w:val="Heading1"/>
        <w:spacing w:after="60"/>
      </w:pPr>
      <w:r>
        <w:rPr>
          <w:b w:val="0"/>
        </w:rPr>
        <w:t>Estructura de carpetas y nomenclatura</w:t>
      </w:r>
    </w:p>
    <w:p>
      <w:pPr>
        <w:pStyle w:val="ListBullet"/>
      </w:pPr>
      <w:r>
        <w:t>00_Brand_System</w:t>
      </w:r>
    </w:p>
    <w:p>
      <w:pPr>
        <w:pStyle w:val="ListBullet"/>
      </w:pPr>
      <w:r>
        <w:t>01_Logos</w:t>
      </w:r>
    </w:p>
    <w:p>
      <w:pPr>
        <w:pStyle w:val="ListBullet"/>
      </w:pPr>
      <w:r>
        <w:t>02_UI_Elements</w:t>
      </w:r>
    </w:p>
    <w:p>
      <w:pPr>
        <w:pStyle w:val="ListBullet"/>
      </w:pPr>
      <w:r>
        <w:t>03_Backgrounds</w:t>
      </w:r>
    </w:p>
    <w:p>
      <w:pPr>
        <w:pStyle w:val="ListBullet"/>
      </w:pPr>
      <w:r>
        <w:t>04_Templates</w:t>
      </w:r>
    </w:p>
    <w:p>
      <w:pPr>
        <w:pStyle w:val="ListBullet"/>
      </w:pPr>
      <w:r>
        <w:t>05_Video_Overlays</w:t>
      </w:r>
    </w:p>
    <w:p>
      <w:pPr>
        <w:pStyle w:val="ListBullet"/>
      </w:pPr>
      <w:r>
        <w:t>06_Social_Covers</w:t>
      </w:r>
    </w:p>
    <w:p>
      <w:pPr>
        <w:pStyle w:val="ListBullet"/>
      </w:pPr>
      <w:r>
        <w:t>99_Archive</w:t>
      </w:r>
    </w:p>
    <w:p>
      <w:pPr>
        <w:spacing w:after="60"/>
      </w:pPr>
      <w:r>
        <w:rPr>
          <w:b w:val="0"/>
          <w:color w:val="374151"/>
        </w:rPr>
        <w:t>Regla de nombrado: Proyecto_Tipo_Nombre_Variante_Version. Ejemplo: FG_Template_FrecuenciaGlobal_Feed_v1.</w:t>
      </w:r>
    </w:p>
    <w:p>
      <w:pPr>
        <w:pStyle w:val="Heading1"/>
        <w:spacing w:after="60"/>
      </w:pPr>
      <w:r>
        <w:rPr>
          <w:b w:val="0"/>
        </w:rPr>
        <w:t>Fondos base</w:t>
      </w:r>
    </w:p>
    <w:p>
      <w:pPr>
        <w:pStyle w:val="ListBullet"/>
      </w:pPr>
      <w:r>
        <w:rPr>
          <w:b/>
        </w:rPr>
        <w:t xml:space="preserve">FG_BG_Dark_Solid: </w:t>
      </w:r>
      <w:r>
        <w:t>Negro profundo para máximo contraste tipográfico.</w:t>
      </w:r>
    </w:p>
    <w:p>
      <w:pPr>
        <w:pStyle w:val="ListBullet"/>
      </w:pPr>
      <w:r>
        <w:rPr>
          <w:b/>
        </w:rPr>
        <w:t xml:space="preserve">FG_BG_Dark_Terminal: </w:t>
      </w:r>
      <w:r>
        <w:t>Gris carbón con textura digital mínima para carruseles explicativos.</w:t>
      </w:r>
    </w:p>
    <w:p>
      <w:pPr>
        <w:pStyle w:val="ListBullet"/>
      </w:pPr>
      <w:r>
        <w:rPr>
          <w:b/>
        </w:rPr>
        <w:t xml:space="preserve">FG_BG_Grid_Cyan: </w:t>
      </w:r>
      <w:r>
        <w:t>Fondo oscuro con retícula cian tenue para mapas, datos y lectura analítica.</w:t>
      </w:r>
    </w:p>
    <w:p>
      <w:pPr>
        <w:pStyle w:val="ListBullet"/>
      </w:pPr>
      <w:r>
        <w:rPr>
          <w:b/>
        </w:rPr>
        <w:t xml:space="preserve">FG_BG_Policy_Depth: </w:t>
      </w:r>
      <w:r>
        <w:t>Fondo oscuro con acento azul policy casi imperceptible para contenido institucional.</w:t>
      </w:r>
    </w:p>
    <w:p>
      <w:pPr>
        <w:pStyle w:val="ListBullet"/>
      </w:pPr>
      <w:r>
        <w:rPr>
          <w:b/>
        </w:rPr>
        <w:t xml:space="preserve">FG_BG_Alert_Acid: </w:t>
      </w:r>
      <w:r>
        <w:t>Fondo oscuro con contorno verde ácido para noticias rápidas y alertas.</w:t>
      </w:r>
    </w:p>
    <w:p>
      <w:pPr>
        <w:pStyle w:val="ListBullet"/>
      </w:pPr>
      <w:r>
        <w:rPr>
          <w:b/>
        </w:rPr>
        <w:t xml:space="preserve">FG_BG_Radar_Minimal: </w:t>
      </w:r>
      <w:r>
        <w:t>Fondo negro con círculos concéntricos ultrafinos para foco geográfico.</w:t>
      </w:r>
    </w:p>
    <w:p>
      <w:pPr>
        <w:pStyle w:val="Heading1"/>
        <w:spacing w:after="60"/>
      </w:pPr>
      <w:r>
        <w:rPr>
          <w:b w:val="0"/>
        </w:rPr>
        <w:t>Plantillas maestras</w:t>
      </w:r>
    </w:p>
    <w:p>
      <w:pPr>
        <w:pStyle w:val="Heading2"/>
        <w:spacing w:after="60"/>
      </w:pPr>
      <w:r>
        <w:rPr>
          <w:b w:val="0"/>
        </w:rPr>
        <w:t>Frecuencia Global — noticia rápida</w:t>
      </w:r>
    </w:p>
    <w:p>
      <w:pPr>
        <w:spacing w:after="60"/>
      </w:pPr>
      <w:r>
        <w:rPr>
          <w:b w:val="0"/>
        </w:rPr>
        <w:t>Formato recomendado: 1080 × 1350 px.</w:t>
      </w:r>
    </w:p>
    <w:p>
      <w:pPr>
        <w:spacing w:after="60"/>
      </w:pPr>
      <w:r>
        <w:rPr>
          <w:b w:val="0"/>
        </w:rPr>
        <w:t>Zonas: header de serie, titular dominante, subtítulo o imagen, barra inferior de metadatos y keyword.</w:t>
      </w:r>
    </w:p>
    <w:p>
      <w:pPr>
        <w:spacing w:after="60"/>
      </w:pPr>
      <w:r>
        <w:rPr>
          <w:b w:val="0"/>
        </w:rPr>
        <w:t>Jerarquía: 1) headline, 2) keyword, 3) subheadline.</w:t>
      </w:r>
    </w:p>
    <w:p>
      <w:pPr>
        <w:spacing w:after="60"/>
      </w:pPr>
      <w:r>
        <w:rPr>
          <w:b w:val="0"/>
        </w:rPr>
        <w:t>Dummy base: China eleva presión en el Mar del Sur / Una nueva maniobra reaviva tensión marítima en Asia / ASIA | 25 MAR 2026 | SEGURIDAD / ESCALADA REGIONAL.</w:t>
      </w:r>
    </w:p>
    <w:p>
      <w:pPr>
        <w:pStyle w:val="Heading2"/>
        <w:spacing w:after="60"/>
      </w:pPr>
      <w:r>
        <w:rPr>
          <w:b w:val="0"/>
        </w:rPr>
        <w:t>Behind the Policy — explicativo modular</w:t>
      </w:r>
    </w:p>
    <w:p>
      <w:pPr>
        <w:spacing w:after="60"/>
      </w:pPr>
      <w:r>
        <w:rPr>
          <w:b w:val="0"/>
        </w:rPr>
        <w:t>Formato recomendado: 1080 × 1350 px o carrusel 1080 × 1080 px.</w:t>
      </w:r>
    </w:p>
    <w:p>
      <w:pPr>
        <w:spacing w:after="60"/>
      </w:pPr>
      <w:r>
        <w:rPr>
          <w:b w:val="0"/>
        </w:rPr>
        <w:t>Zonas: cabecera con label, headline y bajada; cuerpo con módulos Actor, Decisión e Impacto; pie con tags.</w:t>
      </w:r>
    </w:p>
    <w:p>
      <w:pPr>
        <w:spacing w:after="60"/>
      </w:pPr>
      <w:r>
        <w:rPr>
          <w:b w:val="0"/>
        </w:rPr>
        <w:t>Jerarquía: 1) headline, 2) títulos de módulo, 3) descripción de módulo.</w:t>
      </w:r>
    </w:p>
    <w:p>
      <w:pPr>
        <w:spacing w:after="60"/>
      </w:pPr>
      <w:r>
        <w:rPr>
          <w:b w:val="0"/>
        </w:rPr>
        <w:t>Dummy base: Qué busca realmente una sanción internacional / Más allá del castigo económico, también busca alterar cálculo político.</w:t>
      </w:r>
    </w:p>
    <w:p>
      <w:pPr>
        <w:pStyle w:val="Heading1"/>
        <w:spacing w:after="60"/>
      </w:pPr>
      <w:r>
        <w:rPr>
          <w:b w:val="0"/>
        </w:rPr>
        <w:t>Sistema de superposiciones para video</w:t>
      </w:r>
    </w:p>
    <w:p>
      <w:pPr>
        <w:spacing w:after="60"/>
      </w:pPr>
      <w:r>
        <w:rPr>
          <w:b w:val="0"/>
        </w:rPr>
        <w:t>Formato base: 1080 × 1920 px con fondo transparente.</w:t>
      </w:r>
    </w:p>
    <w:p>
      <w:pPr>
        <w:spacing w:after="60"/>
      </w:pPr>
      <w:r>
        <w:rPr>
          <w:b w:val="0"/>
        </w:rPr>
        <w:t>Áreas seguras: franja superior 15 %, franja inferior 25 % y lateral derecho 15 % libres.</w:t>
      </w:r>
    </w:p>
    <w:p>
      <w:pPr>
        <w:spacing w:after="60"/>
      </w:pPr>
      <w:r>
        <w:rPr>
          <w:b w:val="0"/>
        </w:rPr>
        <w:t>Marca: isotipo en esquina superior con opacidad moderada; label de serie en el tercio superior izquierdo.</w:t>
      </w:r>
    </w:p>
    <w:p>
      <w:pPr>
        <w:spacing w:after="60"/>
      </w:pPr>
      <w:r>
        <w:rPr>
          <w:b w:val="0"/>
        </w:rPr>
        <w:t>Subtítulos: Inter Bold o Manrope Bold en blanco con sombra negra dura. Máximo una o dos palabras simultáneas; color del pilar solo para resaltar keywords.</w:t>
      </w:r>
    </w:p>
    <w:p>
      <w:pPr>
        <w:pStyle w:val="Heading1"/>
        <w:spacing w:after="60"/>
      </w:pPr>
      <w:r>
        <w:rPr>
          <w:b w:val="0"/>
        </w:rPr>
        <w:t>Historias destacadas y portadas</w:t>
      </w:r>
    </w:p>
    <w:p>
      <w:pPr>
        <w:spacing w:after="60"/>
      </w:pPr>
      <w:r>
        <w:rPr>
          <w:b w:val="0"/>
        </w:rPr>
        <w:t>Highlights de Instagram: fondo negro sólido con iconografía minimalista central en cian, sin texto superpuesto.</w:t>
      </w:r>
    </w:p>
    <w:p>
      <w:pPr>
        <w:spacing w:after="60"/>
      </w:pPr>
      <w:r>
        <w:rPr>
          <w:b w:val="0"/>
        </w:rPr>
        <w:t>Portadas de serie: fondo con retícula o layout limpio, tipografía masiva y línea del color del pilar subrayando el título.</w:t>
      </w:r>
    </w:p>
    <w:p>
      <w:pPr>
        <w:sectPr>
          <w:pgSz w:w="12240" w:h="15840"/>
          <w:pgMar w:top="1008" w:right="1152" w:bottom="1008" w:left="1152" w:header="720" w:footer="720" w:gutter="0"/>
          <w:cols w:space="720"/>
          <w:docGrid w:linePitch="360"/>
        </w:sectPr>
      </w:pPr>
    </w:p>
    <w:p>
      <w:pPr>
        <w:pStyle w:val="Heading1"/>
        <w:spacing w:after="60"/>
      </w:pPr>
      <w:r>
        <w:rPr>
          <w:b w:val="0"/>
        </w:rPr>
        <w:t>DOCUMENTO 2</w:t>
      </w:r>
    </w:p>
    <w:p>
      <w:pPr>
        <w:pStyle w:val="Title"/>
        <w:spacing w:after="60"/>
      </w:pPr>
      <w:r>
        <w:rPr>
          <w:b w:val="0"/>
          <w:color w:val="111827"/>
        </w:rPr>
        <w:t>Manual Operativo de Implementación (Canva)</w:t>
      </w:r>
    </w:p>
    <w:p>
      <w:pPr>
        <w:pStyle w:val="Heading1"/>
        <w:spacing w:after="60"/>
      </w:pPr>
      <w:r>
        <w:rPr>
          <w:b w:val="0"/>
        </w:rPr>
        <w:t>Configuración del entorno</w:t>
      </w:r>
    </w:p>
    <w:p>
      <w:pPr>
        <w:pStyle w:val="ListNumber"/>
      </w:pPr>
      <w:r>
        <w:t>Crear el brand kit “Frecuencia Global” y cargar la paleta con nombres funcionales.</w:t>
      </w:r>
    </w:p>
    <w:p>
      <w:pPr>
        <w:pStyle w:val="ListNumber"/>
      </w:pPr>
      <w:r>
        <w:t>Registrar las fuentes aprobadas o sus equivalentes: titulares display y tipografía secundaria.</w:t>
      </w:r>
    </w:p>
    <w:p>
      <w:pPr>
        <w:pStyle w:val="ListNumber"/>
      </w:pPr>
      <w:r>
        <w:t>Configurar estilos base para titular, subtítulo, cuerpo y microtexto.</w:t>
      </w:r>
    </w:p>
    <w:p>
      <w:pPr>
        <w:pStyle w:val="ListNumber"/>
      </w:pPr>
      <w:r>
        <w:t>Crear la estructura de carpetas del sistema antes de iniciar producción.</w:t>
      </w:r>
    </w:p>
    <w:p>
      <w:pPr>
        <w:pStyle w:val="Heading1"/>
        <w:spacing w:after="60"/>
      </w:pPr>
      <w:r>
        <w:rPr>
          <w:b w:val="0"/>
        </w:rPr>
        <w:t>Producción de activos base</w:t>
      </w:r>
    </w:p>
    <w:p>
      <w:pPr>
        <w:pStyle w:val="ListNumber"/>
      </w:pPr>
      <w:r>
        <w:t>Exportar variantes del logo principal y del isotipo en PNG transparente y SVG.</w:t>
      </w:r>
    </w:p>
    <w:p>
      <w:pPr>
        <w:pStyle w:val="ListNumber"/>
      </w:pPr>
      <w:r>
        <w:t>Construir líneas cian, nodos, corchetes, marcos y cápsulas keyword como elementos reutilizables.</w:t>
      </w:r>
    </w:p>
    <w:p>
      <w:pPr>
        <w:pStyle w:val="ListNumber"/>
      </w:pPr>
      <w:r>
        <w:t>Producir barra de metadatos, marco fotográfico y marco de cita.</w:t>
      </w:r>
    </w:p>
    <w:p>
      <w:pPr>
        <w:pStyle w:val="ListNumber"/>
      </w:pPr>
      <w:r>
        <w:t>Generar los seis fondos base en 1080 × 1350 px y 1080 × 1080 px.</w:t>
      </w:r>
    </w:p>
    <w:p>
      <w:pPr>
        <w:pStyle w:val="Heading1"/>
        <w:spacing w:after="60"/>
      </w:pPr>
      <w:r>
        <w:rPr>
          <w:b w:val="0"/>
        </w:rPr>
        <w:t>Construcción de plantillas</w:t>
      </w:r>
    </w:p>
    <w:p>
      <w:pPr>
        <w:pStyle w:val="ListNumber"/>
      </w:pPr>
      <w:r>
        <w:rPr>
          <w:b/>
        </w:rPr>
        <w:t xml:space="preserve">Frecuencia Global: </w:t>
      </w:r>
      <w:r>
        <w:t>Montar la estructura con label, headline, subheadline o photo frame, metadata y keyword. Bloquear fondo y contenedores fijos.</w:t>
      </w:r>
    </w:p>
    <w:p>
      <w:pPr>
        <w:pStyle w:val="ListNumber"/>
      </w:pPr>
      <w:r>
        <w:rPr>
          <w:b/>
        </w:rPr>
        <w:t xml:space="preserve">Behind the Policy: </w:t>
      </w:r>
      <w:r>
        <w:t>Construir cabecera, módulos Actor/Decisión/Impacto y tags. Agrupar cabecera, cuerpo y pie para edición rápida.</w:t>
      </w:r>
    </w:p>
    <w:p>
      <w:pPr>
        <w:pStyle w:val="ListNumber"/>
      </w:pPr>
      <w:r>
        <w:rPr>
          <w:b/>
        </w:rPr>
        <w:t xml:space="preserve">Overlay Reels/TikTok: </w:t>
      </w:r>
      <w:r>
        <w:t>Crear archivo 1080 × 1920 px, marcar áreas seguras temporales, ubicar isotipo y label, y guardar versión minimal y full.</w:t>
      </w:r>
    </w:p>
    <w:p>
      <w:pPr>
        <w:pStyle w:val="Heading1"/>
        <w:spacing w:after="60"/>
      </w:pPr>
      <w:r>
        <w:rPr>
          <w:b w:val="0"/>
        </w:rPr>
        <w:t>Orden de implementación recomendado</w:t>
      </w:r>
    </w:p>
    <w:p>
      <w:pPr>
        <w:pStyle w:val="ListBullet"/>
      </w:pPr>
      <w:r>
        <w:t>Logo e isotipo</w:t>
      </w:r>
    </w:p>
    <w:p>
      <w:pPr>
        <w:pStyle w:val="ListBullet"/>
      </w:pPr>
      <w:r>
        <w:t>Elementos UI</w:t>
      </w:r>
    </w:p>
    <w:p>
      <w:pPr>
        <w:pStyle w:val="ListBullet"/>
      </w:pPr>
      <w:r>
        <w:t>Fondos base</w:t>
      </w:r>
    </w:p>
    <w:p>
      <w:pPr>
        <w:pStyle w:val="ListBullet"/>
      </w:pPr>
      <w:r>
        <w:t>Plantilla Frecuencia Global</w:t>
      </w:r>
    </w:p>
    <w:p>
      <w:pPr>
        <w:pStyle w:val="ListBullet"/>
      </w:pPr>
      <w:r>
        <w:t>Plantilla Behind the Policy</w:t>
      </w:r>
    </w:p>
    <w:p>
      <w:pPr>
        <w:pStyle w:val="ListBullet"/>
      </w:pPr>
      <w:r>
        <w:t>Overlay de video</w:t>
      </w:r>
    </w:p>
    <w:p>
      <w:pPr>
        <w:pStyle w:val="ListBullet"/>
      </w:pPr>
      <w:r>
        <w:t>Covers y highlights</w:t>
      </w:r>
    </w:p>
    <w:p>
      <w:pPr>
        <w:pStyle w:val="ListBullet"/>
      </w:pPr>
      <w:r>
        <w:t>Prueba de piezas reales</w:t>
      </w:r>
    </w:p>
    <w:p>
      <w:pPr>
        <w:pStyle w:val="Heading1"/>
        <w:spacing w:after="60"/>
      </w:pPr>
      <w:r>
        <w:rPr>
          <w:b w:val="0"/>
        </w:rPr>
        <w:t>Checklist de control de calidad previo a exportar</w:t>
      </w:r>
    </w:p>
    <w:p>
      <w:pPr>
        <w:pStyle w:val="ListBullet"/>
      </w:pPr>
      <w:r>
        <w:t>Dimensiones correctas y áreas seguras respetadas.</w:t>
      </w:r>
    </w:p>
    <w:p>
      <w:pPr>
        <w:pStyle w:val="ListBullet"/>
      </w:pPr>
      <w:r>
        <w:t>Márgenes y alineaciones consistentes con la retícula.</w:t>
      </w:r>
    </w:p>
    <w:p>
      <w:pPr>
        <w:pStyle w:val="ListBullet"/>
      </w:pPr>
      <w:r>
        <w:t>Predominio de fondo oscuro y suficiente aire visual.</w:t>
      </w:r>
    </w:p>
    <w:p>
      <w:pPr>
        <w:pStyle w:val="ListBullet"/>
      </w:pPr>
      <w:r>
        <w:t>Máximo dos colores de acento por pieza.</w:t>
      </w:r>
    </w:p>
    <w:p>
      <w:pPr>
        <w:pStyle w:val="ListBullet"/>
      </w:pPr>
      <w:r>
        <w:t>Ningún color de acento usado como fondo dominante.</w:t>
      </w:r>
    </w:p>
    <w:p>
      <w:pPr>
        <w:pStyle w:val="ListBullet"/>
      </w:pPr>
      <w:r>
        <w:t>Titulares en display; cuerpo y subtítulos en tipografía secundaria.</w:t>
      </w:r>
    </w:p>
    <w:p>
      <w:pPr>
        <w:pStyle w:val="ListBullet"/>
      </w:pPr>
      <w:r>
        <w:t>Jerarquía visual clara a primera vista.</w:t>
      </w:r>
    </w:p>
    <w:p>
      <w:pPr>
        <w:pStyle w:val="ListBullet"/>
      </w:pPr>
      <w:r>
        <w:t>Presencia de al menos un elemento UI del sistema.</w:t>
      </w:r>
    </w:p>
    <w:p>
      <w:pPr>
        <w:pStyle w:val="ListBullet"/>
      </w:pPr>
      <w:r>
        <w:t>Glow imperceptible o ausente.</w:t>
      </w:r>
    </w:p>
    <w:p>
      <w:pPr>
        <w:pStyle w:val="ListBullet"/>
      </w:pPr>
      <w:r>
        <w:t>Magenta restringido a Bass &amp; Borders.</w:t>
      </w:r>
    </w:p>
    <w:p>
      <w:pPr>
        <w:pStyle w:val="ListBullet"/>
      </w:pPr>
      <w:r>
        <w:t>Contraste suficiente para lectura en móvil.</w:t>
      </w:r>
    </w:p>
    <w:p>
      <w:pPr>
        <w:pStyle w:val="ListBullet"/>
      </w:pPr>
      <w:r>
        <w:t>Texto de relleno completamente sustituido.</w:t>
      </w:r>
    </w:p>
    <w:p>
      <w:pPr>
        <w:pStyle w:val="Heading1"/>
        <w:spacing w:after="60"/>
      </w:pPr>
      <w:r>
        <w:rPr>
          <w:b w:val="0"/>
        </w:rPr>
        <w:t>Nota de alcance</w:t>
      </w:r>
    </w:p>
    <w:p>
      <w:pPr>
        <w:spacing w:after="60"/>
      </w:pPr>
      <w:r>
        <w:rPr>
          <w:b w:val="0"/>
          <w:color w:val="374151"/>
        </w:rPr>
        <w:t>Este manual deja resuelto el trabajo documental, de sistema y de especificación. El montaje nativo dentro de Canva sigue siendo una ejecución manual dentro de la cuenta del usuario.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A8C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1182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