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 w:line="276" w:lineRule="auto"/>
      </w:pPr>
      <w:r>
        <w:rPr>
          <w:b/>
          <w:color w:val="1F3864"/>
          <w:sz w:val="40"/>
          <w:szCs w:val="40"/>
        </w:rPr>
        <w:t xml:space="preserve">G1 Digital-Twin Payload Experiment</w:t>
      </w:r>
    </w:p>
    <w:p>
      <w:pPr>
        <w:spacing w:after="40" w:line="276" w:lineRule="auto"/>
      </w:pPr>
      <w:r>
        <w:rPr>
          <w:i/>
          <w:color w:val="595959"/>
          <w:sz w:val="22"/>
          <w:szCs w:val="22"/>
        </w:rPr>
        <w:t xml:space="preserve">Methods, spill model, governance algorithm and full campaign results — supporting material for Section VII.H</w:t>
      </w:r>
    </w:p>
    <w:p>
      <w:pPr>
        <w:spacing w:after="280" w:line="276" w:lineRule="auto"/>
      </w:pPr>
      <w:r>
        <w:rPr>
          <w:i/>
          <w:color w:val="595959"/>
          <w:sz w:val="20"/>
          <w:szCs w:val="20"/>
        </w:rPr>
        <w:t xml:space="preserve">Simulation campaign 2026-07-04 · Unitree G1 · Gazebo (ROS 2 Humble) · 99 simulation runs, 82 valid formal-campaign runs across 11 arms · rev. 2 (four-layer architecture + runtime certification ratio)</w:t>
      </w:r>
    </w:p>
    <w:p>
      <w:pPr>
        <w:spacing w:after="80" w:line="276" w:lineRule="auto"/>
      </w:pPr>
      <w:r>
        <w:rPr>
          <w:b/>
          <w:color w:val="1F3864"/>
          <w:sz w:val="32"/>
          <w:szCs w:val="32"/>
        </w:rPr>
        <w:t xml:space="preserve">1.  Digital twin: Gazebo replica of the laboratory</w:t>
      </w:r>
    </w:p>
    <w:p>
      <w:pPr>
        <w:spacing w:after="160" w:line="276" w:lineRule="auto"/>
      </w:pPr>
      <w:r>
        <w:t xml:space="preserve">The physical robot is a Unitree G1 “Air” humanoid, a consumer unit whose only external interface is a single WebRTC session through the vendor app; the production navigation stack drives it by tapping that session over USB. For the twin we reuse </w:t>
      </w:r>
      <w:r>
        <w:rPr>
          <w:b/>
        </w:rPr>
        <w:t xml:space="preserve">the exact same stack, unmodified</w:t>
      </w:r>
      <w:r>
        <w:t xml:space="preserve">, and substitute only its interface object, so any behaviour observed in simulation is produced by the identical code deployed on hardware.</w:t>
      </w:r>
    </w:p>
    <w:p>
      <w:pPr>
        <w:spacing w:after="160" w:line="276" w:lineRule="auto"/>
      </w:pPr>
      <w:r>
        <w:t xml:space="preserve">The simulator runs in a Docker container (ROS 2 Humble Desktop, Gazebo Classic, noVNC). The world, </w:t>
      </w:r>
      <w:r>
        <w:rPr>
          <w:b/>
        </w:rPr>
        <w:t xml:space="preserve">lab.world</w:t>
      </w:r>
      <w:r>
        <w:t xml:space="preserve">, is generated programmatically from the robot's own SLAM maps of the real laboratory: wall occupancy cells become 2.2 m box obstacles in the robot's coordinate frame, so the twin's geometry, waypoints (A, B, C) and the 0.8 m doorway coincide with the real deployment.</w:t>
      </w:r>
    </w:p>
    <w:p>
      <w:pPr>
        <w:spacing w:after="100" w:line="276" w:lineRule="auto"/>
      </w:pPr>
      <w:r>
        <w:rPr>
          <w:b/>
          <w:color w:val="2E74B5"/>
          <w:sz w:val="26"/>
          <w:szCs w:val="26"/>
        </w:rPr>
        <w:t xml:space="preserve">1.1  Robot model and physics</w:t>
      </w:r>
    </w:p>
    <w:p>
      <w:pPr>
        <w:spacing w:after="160" w:line="276" w:lineRule="auto"/>
      </w:pPr>
      <w:r>
        <w:t xml:space="preserve">The robot is spawned from a URDF whose collision geometry is a single box matching the G1's real envelope (0.44 m shoulder width × 1.10 m tall, capped below the simulated LiDAR at z ≈ 1.20 m so the sensor does not see itself). High mass (60 kg) and large diagonal inertia keep the base upright under the velocity-controlled gait; ground friction is zero so the planar-move plugin drives it as a velocity-controlled puck while wall contacts remain solid. Locomotion is commanded as gait velocity through gazebo_ros_planar_move (/cmd_vel, /odom back); a 360-ray LiDAR at 10 Hz publishes /scan. The doorway was re-carved to the measured physical opening after the collision model was corrected: with the original carve the clear gap was 0.42 m and the realistic body physically could not pass — an artefact caught by consistency checking before any campaign data was taken.</w:t>
      </w:r>
    </w:p>
    <w:p>
      <w:pPr>
        <w:spacing w:after="100" w:line="276" w:lineRule="auto"/>
      </w:pPr>
      <w:r>
        <w:rPr>
          <w:b/>
          <w:color w:val="2E74B5"/>
          <w:sz w:val="26"/>
          <w:szCs w:val="26"/>
        </w:rPr>
        <w:t xml:space="preserve">1.2  The adapter: same stack, simulated interface</w:t>
      </w:r>
    </w:p>
    <w:p>
      <w:pPr>
        <w:numPr>
          <w:ilvl w:val="0"/>
          <w:numId w:val="1"/>
        </w:numPr>
        <w:spacing w:after="80" w:line="276" w:lineRule="auto"/>
      </w:pPr>
      <w:r>
        <w:rPr>
          <w:b/>
        </w:rPr>
        <w:t xml:space="preserve">Velocity commands</w:t>
      </w:r>
      <w:r>
        <w:t xml:space="preserve"> {lx, ly, rx, ry} → /cmd_vel, using the physical robot's measured stick-to-velocity mapping (deadzone subtracted, not clipped; ly = 0.40 → 0.30 m/s), so simulated and real dynamics coincide.</w:t>
      </w:r>
    </w:p>
    <w:p>
      <w:pPr>
        <w:numPr>
          <w:ilvl w:val="0"/>
          <w:numId w:val="1"/>
        </w:numPr>
        <w:spacing w:after="80" w:line="276" w:lineRule="auto"/>
      </w:pPr>
      <w:r>
        <w:rPr>
          <w:b/>
        </w:rPr>
        <w:t xml:space="preserve">Pose</w:t>
      </w:r>
      <w:r>
        <w:t xml:space="preserve"> ← /odom (map and odometry frames coincide in simulation: no relocalisation jitter).</w:t>
      </w:r>
    </w:p>
    <w:p>
      <w:pPr>
        <w:numPr>
          <w:ilvl w:val="0"/>
          <w:numId w:val="1"/>
        </w:numPr>
        <w:spacing w:after="80" w:line="276" w:lineRule="auto"/>
      </w:pPr>
      <w:r>
        <w:rPr>
          <w:b/>
        </w:rPr>
        <w:t xml:space="preserve">LiDAR</w:t>
      </w:r>
      <w:r>
        <w:t xml:space="preserve"> ← /scan, projected into a flat world-frame point cloud identical in shape to the real WebView decoder output.</w:t>
      </w:r>
    </w:p>
    <w:p>
      <w:pPr>
        <w:spacing w:after="160" w:line="276" w:lineRule="auto"/>
      </w:pPr>
      <w:r>
        <w:t xml:space="preserve">Camera perception is disabled in the twin; the LiDAR-driven planner and the governance layer are exercised in full. Data runs are always headless.</w:t>
      </w:r>
    </w:p>
    <w:p>
      <w:pPr>
        <w:spacing w:after="120"/>
      </w:pPr>
      <w:r>
        <w:br w:type="page"/>
      </w:r>
    </w:p>
    <w:p>
      <w:pPr>
        <w:spacing w:after="80" w:line="276" w:lineRule="auto"/>
      </w:pPr>
      <w:r>
        <w:rPr>
          <w:b/>
          <w:color w:val="1F3864"/>
          <w:sz w:val="32"/>
          <w:szCs w:val="32"/>
        </w:rPr>
        <w:t xml:space="preserve">2.  Spill model (payload hazard)</w:t>
      </w:r>
    </w:p>
    <w:p>
      <w:pPr>
        <w:spacing w:after="160" w:line="276" w:lineRule="auto"/>
      </w:pPr>
      <w:r>
        <w:t xml:space="preserve">Spilling is modelled physically, not as an arbitrary speed threshold. The water surface at the cup rim is a </w:t>
      </w:r>
      <w:r>
        <w:rPr>
          <w:b/>
        </w:rPr>
        <w:t xml:space="preserve">damped second-order oscillator</w:t>
      </w:r>
      <w:r>
        <w:t xml:space="preserve"> — the first sloshing mode of an open cylinder — excited by the horizontal acceleration of the cup:</w:t>
      </w:r>
    </w:p>
    <w:p>
      <w:pPr>
        <w:spacing w:after="120" w:line="276" w:lineRule="auto"/>
      </w:pPr>
      <w:r>
        <w:rPr>
          <w:rFonts w:ascii="Consolas" w:hAnsi="Consolas"/>
          <w:color w:val="333333"/>
          <w:sz w:val="18"/>
          <w:szCs w:val="18"/>
        </w:rPr>
        <w:t xml:space="preserve">ω₀ = sqrt( g · k₁ · tanh(k₁·h) ),  k₁ = 1.841 / R    (≈ 21 rad/s for R = 4 cm, h = 8 cm)</w:t>
      </w:r>
    </w:p>
    <w:p>
      <w:pPr>
        <w:spacing w:after="120" w:line="276" w:lineRule="auto"/>
      </w:pPr>
      <w:r>
        <w:rPr>
          <w:rFonts w:ascii="Consolas" w:hAnsi="Consolas"/>
          <w:color w:val="333333"/>
          <w:sz w:val="18"/>
          <w:szCs w:val="18"/>
        </w:rPr>
        <w:t xml:space="preserve">η̈ = −2·ζ·ω₀·η̇ − ω₀² · (η + R·a_cup/g)    per body axis,  ζ = 0.06</w:t>
      </w:r>
    </w:p>
    <w:p>
      <w:pPr>
        <w:spacing w:after="160" w:line="276" w:lineRule="auto"/>
      </w:pPr>
      <w:r>
        <w:t xml:space="preserve">The cup is held ~0.25 m ahead of the base, so a_cup = a_base + α×r + ω×(ω×r): fast turning adds a lever term. Bipedal gait injects acceleration noise growing with speed (≈ v²; 1.4 Hz component plus broadband) — </w:t>
      </w:r>
      <w:r>
        <w:rPr>
          <w:b/>
        </w:rPr>
        <w:t xml:space="preserve">walking fast agitates the cup by itself</w:t>
      </w:r>
      <w:r>
        <w:t xml:space="preserve">. A sharp deceleration while forward motion is still commanded (an external impact, not a commanded stop) adds a direct impulse. Commanded acceleration is low-pass filtered (τ = 0.25 s) because the real G1 ramps velocity smoothly whereas the planar-move plugin steps it instantaneously.</w:t>
      </w:r>
    </w:p>
    <w:p>
      <w:pPr>
        <w:spacing w:after="160" w:line="276" w:lineRule="auto"/>
      </w:pPr>
      <w:r>
        <w:t xml:space="preserve">Spills are drawn from a </w:t>
      </w:r>
      <w:r>
        <w:rPr>
          <w:b/>
        </w:rPr>
        <w:t xml:space="preserve">non-homogeneous Poisson process</w:t>
      </w:r>
      <w:r>
        <w:t xml:space="preserve"> on how far the surface exceeds the freeboard (12 mm below the rim):</w:t>
      </w:r>
    </w:p>
    <w:p>
      <w:pPr>
        <w:spacing w:after="120" w:line="276" w:lineRule="auto"/>
      </w:pPr>
      <w:r>
        <w:rPr>
          <w:rFonts w:ascii="Consolas" w:hAnsi="Consolas"/>
          <w:color w:val="333333"/>
          <w:sz w:val="18"/>
          <w:szCs w:val="18"/>
        </w:rPr>
        <w:t xml:space="preserve">λ(t) = LID · λ₀ · max(0, |η|/freeboard − 1)² ,  λ₀ = 40 s⁻¹ ,  LID = 1.0 (open) / 0.25 (sealed)</w:t>
      </w:r>
    </w:p>
    <w:p>
      <w:pPr>
        <w:spacing w:after="160" w:line="276" w:lineRule="auto"/>
      </w:pPr>
      <w:r>
        <w:t xml:space="preserve">Each spill loses water (freeboard grows) and dissipates slosh energy. The model is </w:t>
      </w:r>
      <w:r>
        <w:rPr>
          <w:b/>
        </w:rPr>
        <w:t xml:space="preserve">observational only</w:t>
      </w:r>
      <w:r>
        <w:t xml:space="preserve">: it never alters physics or control. Calibration against logged trajectories yields ≈ 2 spills per 80 s of sustained 0.30 m/s cruising and ≈ 0 at the governed 0.18 m/s ceiling, consistent with the jerk-dominated design of the 2-D thesis study. For the physical robot the same event channel accepts a </w:t>
      </w:r>
      <w:r>
        <w:rPr>
          <w:b/>
        </w:rPr>
        <w:t xml:space="preserve">manual ground-truth mark</w:t>
      </w:r>
      <w:r>
        <w:t xml:space="preserve"> (a keypress or an empty ROS message per observed spill), timestamped into the identical dataset field.</w:t>
      </w:r>
    </w:p>
    <w:p>
      <w:pPr>
        <w:spacing w:after="120"/>
      </w:pPr>
      <w:r>
        <w:br w:type="page"/>
      </w:r>
    </w:p>
    <w:p>
      <w:pPr>
        <w:spacing w:after="80" w:line="276" w:lineRule="auto"/>
      </w:pPr>
      <w:r>
        <w:rPr>
          <w:b/>
          <w:color w:val="1F3864"/>
          <w:sz w:val="32"/>
          <w:szCs w:val="32"/>
        </w:rPr>
        <w:t xml:space="preserve">3.  Governance algorithm (DCE runtime)</w:t>
      </w:r>
    </w:p>
    <w:p>
      <w:pPr>
        <w:spacing w:after="160" w:line="276" w:lineRule="auto"/>
      </w:pPr>
      <w:r>
        <w:t xml:space="preserve">The governance layer is the configuration-first meta-reasoner (Meta-Reasoner 2.0) fed at 2 Hz through a bridge that packages the stack's per-tick telemetry as shared-experience readings. Each tick the reasoner evaluates the candidate analogies (Efficient_Nav / Cautious_Nav) against their QoE boundaries — analogy-level DST intervals, semantic-region memory and direction, tension with attention exponents, fulfillment, required-meta, uncertainty and hard-veto gates — and returns KEEP / SWITCH / FALLBACK / HELP / INSUFFICIENT plus the active analogy. The bridge maps the decision to a forward-speed ceiling (Efficient = uncapped ≈ 0.30 m/s, Cautious = 0.18 m/s, FALLBACK = 0.14 m/s, HELP = 0).</w:t>
      </w:r>
    </w:p>
    <w:tbl>
      <w:tblPr>
        <w:tblW w:w="7000" w:type="dxa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700"/>
        <w:gridCol w:w="3200"/>
        <w:gridCol w:w="2100"/>
      </w:tblGrid>
      <w:tr>
        <w:tc>
          <w:tcPr>
            <w:tcW w:w="17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  <w:szCs w:val="17"/>
              </w:rPr>
              <w:t xml:space="preserve">Meta-parameter</w:t>
            </w:r>
          </w:p>
        </w:tc>
        <w:tc>
          <w:tcPr>
            <w:tcW w:w="32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  <w:szCs w:val="17"/>
              </w:rPr>
              <w:t xml:space="preserve">Source (per-tick telemetry)</w:t>
            </w:r>
          </w:p>
        </w:tc>
        <w:tc>
          <w:tcPr>
            <w:tcW w:w="21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  <w:szCs w:val="17"/>
              </w:rPr>
              <w:t xml:space="preserve">Role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safety</w:t>
            </w:r>
          </w:p>
        </w:tc>
        <w:tc>
          <w:tcPr>
            <w:tcW w:w="32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clearance = c0 / 1.5 m (LiDAR forward free space)</w:t>
            </w:r>
          </w:p>
        </w:tc>
        <w:tc>
          <w:tcPr>
            <w:tcW w:w="21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QoE regions + hard veto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progression</w:t>
            </w:r>
          </w:p>
        </w:tc>
        <w:tc>
          <w:tcPr>
            <w:tcW w:w="32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goal-approach rate / 0.30 m/s (2 s window)</w:t>
            </w:r>
          </w:p>
        </w:tc>
        <w:tc>
          <w:tcPr>
            <w:tcW w:w="21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required-meta threshold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mobility</w:t>
            </w:r>
          </w:p>
        </w:tc>
        <w:tc>
          <w:tcPr>
            <w:tcW w:w="32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achieved / commanded speed (1.2 s window)</w:t>
            </w:r>
          </w:p>
        </w:tc>
        <w:tc>
          <w:tcPr>
            <w:tcW w:w="21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resistance channel, hard veto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fragility</w:t>
            </w:r>
          </w:p>
        </w:tc>
        <w:tc>
          <w:tcPr>
            <w:tcW w:w="32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payload state: 1.0 intact, drops per spill</w:t>
            </w:r>
          </w:p>
        </w:tc>
        <w:tc>
          <w:tcPr>
            <w:tcW w:w="21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hard veto (payload task)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reliability / uncertainty</w:t>
            </w:r>
          </w:p>
        </w:tc>
        <w:tc>
          <w:tcPr>
            <w:tcW w:w="32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sensing monitor + few-shot historical margin</w:t>
            </w:r>
          </w:p>
        </w:tc>
        <w:tc>
          <w:tcPr>
            <w:tcW w:w="21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DST belief interval</w:t>
            </w:r>
          </w:p>
        </w:tc>
      </w:tr>
    </w:tbl>
    <w:p>
      <w:pPr>
        <w:spacing w:after="140" w:line="276" w:lineRule="auto"/>
      </w:pPr>
      <w:r>
        <w:t xml:space="preserve">Readings are median-smoothed (~2.5 s) and each reading's DST uncertainty adds the historical dispersion of its own metric (few-shot margin). Switches are hysteretic; an experience-escalation layer aborts on sustained HELP or a stagnant high-FALLBACK window.</w:t>
      </w:r>
    </w:p>
    <w:p>
      <w:pPr>
        <w:spacing w:after="100" w:line="276" w:lineRule="auto"/>
      </w:pPr>
      <w:r>
        <w:rPr>
          <w:b/>
          <w:color w:val="2E74B5"/>
          <w:sz w:val="26"/>
          <w:szCs w:val="26"/>
        </w:rPr>
        <w:t xml:space="preserve">3.1  Realising the four-layer belief architecture of thesis Chapter 5</w:t>
      </w:r>
    </w:p>
    <w:p>
      <w:pPr>
        <w:spacing w:after="160" w:line="276" w:lineRule="auto"/>
      </w:pPr>
      <w:r>
        <w:t xml:space="preserve">Chapter 5 of the thesis specifies three DST belief layers plus a deployment-level Meta-Attention layer, each addressing a distinct failure mode at its own timescale. Table 2 maps each layer to its realisation on the G1. Layers 1-2 run in every governed experiment; Layers 3-4 are implemented and validated but opt-in (they were disabled during the reported campaign so that the published arms remain exactly reproducible).</w:t>
      </w:r>
    </w:p>
    <w:tbl>
      <w:tblPr>
        <w:tblW w:w="9250" w:type="dxa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500"/>
        <w:gridCol w:w="950"/>
        <w:gridCol w:w="4600"/>
        <w:gridCol w:w="1200"/>
      </w:tblGrid>
      <w:tr>
        <w:tc>
          <w:tcPr>
            <w:tcW w:w="25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Thesis layer</w:t>
            </w:r>
          </w:p>
        </w:tc>
        <w:tc>
          <w:tcPr>
            <w:tcW w:w="95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Timescale</w:t>
            </w:r>
          </w:p>
        </w:tc>
        <w:tc>
          <w:tcPr>
            <w:tcW w:w="46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G1 realisation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L1 — path-hazard plausibility (Pl_H): collapse transfer, force conservative</w:t>
            </w:r>
          </w:p>
        </w:tc>
        <w:tc>
          <w:tcPr>
            <w:tcW w:w="9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sensor frame</w:t>
            </w:r>
          </w:p>
        </w:tc>
        <w:tc>
          <w:tcPr>
            <w:tcW w:w="46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Per-tick analogy-level DST on the safety reading with QoE regions and hard veto inside the reasoner (strips certification in ~2 ticks; measured ≈4 s correction of a task-blind prior), over the stack's own hard safety guards</w:t>
            </w:r>
          </w:p>
        </w:tc>
        <w:tc>
          <w:tcPr>
            <w:tcW w:w="12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covered (equivalent mechanism)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L2 — analogy transfer trust (Pl_analogy): outcome evidence per run</w:t>
            </w:r>
          </w:p>
        </w:tc>
        <w:tc>
          <w:tcPr>
            <w:tcW w:w="9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run</w:t>
            </w:r>
          </w:p>
        </w:tc>
        <w:tc>
          <w:tcPr>
            <w:tcW w:w="46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Per-analogy Dempster–Shafer belief {match, mismatch, Θ} persisted between runs (G1_M2_STATE); spill → mismatch mass, clean run → match mass; Pl &lt; 0.70 blends the ceiling toward conservative, Pl &lt; 0.45 vetoes deployment and corrects the start-up prior</w:t>
            </w:r>
          </w:p>
        </w:tc>
        <w:tc>
          <w:tcPr>
            <w:tcW w:w="12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implemented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L3 — environment relevance (Pl_env): relax / escalate spatial assumptions</w:t>
            </w:r>
          </w:p>
        </w:tc>
        <w:tc>
          <w:tcPr>
            <w:tcW w:w="9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run (continuous)</w:t>
            </w:r>
          </w:p>
        </w:tc>
        <w:tc>
          <w:tcPr>
            <w:tcW w:w="46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EMA of the median clearance relative to the active analogy's expected boundary, clamped to [0.85, 1.15]; scales profile ceilings only (never FALLBACK/HELP; bounds 0.22-0.40). Validated: open environment raises the Cautious ceiling 0.28 → 0.32, narrow lowers it → 0.26</w:t>
            </w:r>
          </w:p>
        </w:tc>
        <w:tc>
          <w:tcPr>
            <w:tcW w:w="12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implemented (opt-in G1_M2_L3)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L4 — Meta-Attention: chronic low fulfilment despite high trust → profile mismatch</w:t>
            </w:r>
          </w:p>
        </w:tc>
        <w:tc>
          <w:tcPr>
            <w:tcW w:w="9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deployment (run window)</w:t>
            </w:r>
          </w:p>
        </w:tc>
        <w:tc>
          <w:tcPr>
            <w:tcW w:w="46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Per-run mean fulfilment history persisted with the L2 state; fulfilment &lt; 0.45 over 3 consecutive runs with Pl ≥ 0.45 under the same profile → start-up re-selection of the alternative profile. The experience-escalation abort (sustained HELP) covers the within-run part of this timescale</w:t>
            </w:r>
          </w:p>
        </w:tc>
        <w:tc>
          <w:tcPr>
            <w:tcW w:w="12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implemented (opt-in G1_M2_L4)</w:t>
            </w:r>
          </w:p>
        </w:tc>
      </w:tr>
    </w:tbl>
    <w:p>
      <w:pPr>
        <w:spacing w:after="180" w:line="276" w:lineRule="auto"/>
      </w:pPr>
      <w:r>
        <w:rPr>
          <w:i/>
          <w:color w:val="595959"/>
          <w:sz w:val="18"/>
          <w:szCs w:val="18"/>
        </w:rPr>
        <w:t xml:space="preserve">Table 2. Thesis Ch. 5 four-layer architecture mapped to the G1 runtime. All four layers live in the bridge; the meta-reasoner itself is untouched.</w:t>
      </w:r>
    </w:p>
    <w:p>
      <w:pPr>
        <w:spacing w:after="160" w:line="276" w:lineRule="auto"/>
      </w:pPr>
      <w:r>
        <w:t xml:space="preserve">Two details differ from the 2-D study, both additive. First, the </w:t>
      </w:r>
      <w:r>
        <w:rPr>
          <w:b/>
        </w:rPr>
        <w:t xml:space="preserve">fragility channel acts within the run</w:t>
      </w:r>
      <w:r>
        <w:t xml:space="preserve"> (one spill → caution ≈ 0.52, two → FALLBACK band ≈ 0.31, three or more → dangerous &lt; 0.12 and a hard-veto HELP; ~25 s recovery), which the 2-D study could not do because its spill evidence arrived only per run — the tick-level DST of the runtime makes the intra-run channel possible. Second, spill evidence is attributed to the analogy </w:t>
      </w:r>
      <w:r>
        <w:rPr>
          <w:b/>
        </w:rPr>
        <w:t xml:space="preserve">governing at the moment of the spill</w:t>
      </w:r>
      <w:r>
        <w:t xml:space="preserve">, not to the whole run, sharpening the Layer-2 credit assignment.</w:t>
      </w:r>
    </w:p>
    <w:p>
      <w:pPr>
        <w:spacing w:after="100" w:line="276" w:lineRule="auto"/>
      </w:pPr>
      <w:r>
        <w:rPr>
          <w:b/>
          <w:color w:val="2E74B5"/>
          <w:sz w:val="26"/>
          <w:szCs w:val="26"/>
        </w:rPr>
        <w:t xml:space="preserve">3.2  Runtime certification ratio (ρ_DCA)</w:t>
      </w:r>
    </w:p>
    <w:p>
      <w:pPr>
        <w:spacing w:after="160" w:line="276" w:lineRule="auto"/>
      </w:pPr>
      <w:r>
        <w:t xml:space="preserve">The paper's robustness certificate is instantiated as a runtime quantity and logged with every governance decision:</w:t>
      </w:r>
    </w:p>
    <w:p>
      <w:pPr>
        <w:spacing w:after="120" w:line="276" w:lineRule="auto"/>
      </w:pPr>
      <w:r>
        <w:rPr>
          <w:rFonts w:ascii="Consolas" w:hAnsi="Consolas"/>
          <w:color w:val="333333"/>
          <w:sz w:val="18"/>
          <w:szCs w:val="18"/>
        </w:rPr>
        <w:t xml:space="preserve">ρ̂ = max(0, Δmargin) / ( task_uncertainty_gap(winner) + 0.5·θ_mismatch(winner) + 0.02 )</w:t>
      </w:r>
    </w:p>
    <w:p>
      <w:pPr>
        <w:spacing w:after="160" w:line="276" w:lineRule="auto"/>
      </w:pPr>
      <w:r>
        <w:t xml:space="preserve">where Δmargin is the stable-fulfilment gap between the two best deployable candidates (or the distance to the certification threshold when only one is deployable), task_uncertainty_gap is the DST-measured calibration budget (the θ_QoE proxy), and θ_mismatch is the L2 distance between normalised task and analogy attention vectors (computed from configuration; B constants set to 1 and ξ_rep declared unmeasured at runtime). Validation reproduces the paper's regimes empirically: ρ̂ = 1.50 in an open corridor with clean readings (stable) versus ρ̂ = 0.58 under degraded, oscillating readings (non-certifiable). The value is recorded per tick (meta2_rho) so certification traces analogous to Table V of the manuscript can be produced from any run.</w:t>
      </w:r>
    </w:p>
    <w:p>
      <w:pPr>
        <w:spacing w:after="120"/>
      </w:pPr>
      <w:r>
        <w:br w:type="page"/>
      </w:r>
    </w:p>
    <w:p>
      <w:pPr>
        <w:spacing w:after="80" w:line="276" w:lineRule="auto"/>
      </w:pPr>
      <w:r>
        <w:rPr>
          <w:b/>
          <w:color w:val="1F3864"/>
          <w:sz w:val="32"/>
          <w:szCs w:val="32"/>
        </w:rPr>
        <w:t xml:space="preserve">4.  Campaign protocol</w:t>
      </w:r>
    </w:p>
    <w:p>
      <w:pPr>
        <w:spacing w:after="160" w:line="276" w:lineRule="auto"/>
      </w:pPr>
      <w:r>
        <w:t xml:space="preserve">99 simulation runs were executed in total: 82 valid formal-campaign runs across 11 governance arms (8 per arm; 6 for sealed-lid arms), plus development and validation runs (adapter bring-up, collision-physics correction, smoke tests) and one run excluded by audit (governance silently disabled by a mid-campaign code edit — detected by a per-tick telemetry check and discarded). Every run resets Gazebo to a fresh world with the robot at waypoint A and executes an autonomous A→B traverse headless; arms alternate to share machine-load drift; datasets are tagged env=sim with a per-arm identifier. Statistics follow the thesis protocol: mean ± 95% CI (1.96·s/√n).</w:t>
      </w:r>
    </w:p>
    <w:p>
      <w:pPr>
        <w:spacing w:after="80" w:line="276" w:lineRule="auto"/>
      </w:pPr>
      <w:r>
        <w:rPr>
          <w:b/>
          <w:color w:val="1F3864"/>
          <w:sz w:val="32"/>
          <w:szCs w:val="32"/>
        </w:rPr>
        <w:t xml:space="preserve">5.  Results</w:t>
      </w:r>
    </w:p>
    <w:p>
      <w:pPr>
        <w:spacing w:after="160" w:line="276" w:lineRule="auto"/>
      </w:pPr>
      <w:r>
        <w:t xml:space="preserve">Table 3 reports all eleven arms. Risk is the fraction of run time with the liquid surface above 70% of freeboard; HELP counts governed aborts (sustained empty deployable set); times average reached runs only.</w:t>
      </w:r>
    </w:p>
    <w:tbl>
      <w:tblPr>
        <w:tblW w:w="8700" w:type="dxa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050"/>
        <w:gridCol w:w="1800"/>
        <w:gridCol w:w="1250"/>
        <w:gridCol w:w="1300"/>
        <w:gridCol w:w="1300"/>
        <w:gridCol w:w="1000"/>
      </w:tblGrid>
      <w:tr>
        <w:tc>
          <w:tcPr>
            <w:tcW w:w="205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  <w:szCs w:val="17"/>
              </w:rPr>
              <w:t xml:space="preserve">Arm</w:t>
            </w:r>
          </w:p>
        </w:tc>
        <w:tc>
          <w:tcPr>
            <w:tcW w:w="18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  <w:szCs w:val="17"/>
              </w:rPr>
              <w:t xml:space="preserve">Governance</w:t>
            </w:r>
          </w:p>
        </w:tc>
        <w:tc>
          <w:tcPr>
            <w:tcW w:w="125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  <w:szCs w:val="17"/>
              </w:rPr>
              <w:t xml:space="preserve">Reached</w:t>
            </w:r>
          </w:p>
        </w:tc>
        <w:tc>
          <w:tcPr>
            <w:tcW w:w="13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  <w:szCs w:val="17"/>
              </w:rPr>
              <w:t xml:space="preserve">Time (s)</w:t>
            </w:r>
          </w:p>
        </w:tc>
        <w:tc>
          <w:tcPr>
            <w:tcW w:w="13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  <w:szCs w:val="17"/>
              </w:rPr>
              <w:t xml:space="preserve">Spills/run</w:t>
            </w:r>
          </w:p>
        </w:tc>
        <w:tc>
          <w:tcPr>
            <w:tcW w:w="10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7"/>
                <w:szCs w:val="17"/>
              </w:rPr>
              <w:t xml:space="preserve">Risk (%)</w:t>
            </w:r>
          </w:p>
        </w:tc>
      </w:tr>
      <w:tr>
        <w:tc>
          <w:tcPr>
            <w:tcW w:w="2050" w:type="dxa"/>
            <w:vAlign w:val="center"/>
          </w:tcPr>
          <w:p>
            <w:pPr>
              <w:spacing w:after="30"/>
            </w:pPr>
            <w:r>
              <w:rPr>
                <w:b/>
                <w:sz w:val="17"/>
                <w:szCs w:val="17"/>
              </w:rPr>
              <w:t xml:space="preserve">M0 baseline</w:t>
            </w:r>
          </w:p>
        </w:tc>
        <w:tc>
          <w:tcPr>
            <w:tcW w:w="18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none (0.30 m/s)</w:t>
            </w:r>
          </w:p>
        </w:tc>
        <w:tc>
          <w:tcPr>
            <w:tcW w:w="125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8/8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83.4 ± 5.2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0.50 ± 0.37</w:t>
            </w:r>
          </w:p>
        </w:tc>
        <w:tc>
          <w:tcPr>
            <w:tcW w:w="10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8.1 ± 1.4</w:t>
            </w:r>
          </w:p>
        </w:tc>
      </w:tr>
      <w:tr>
        <w:tc>
          <w:tcPr>
            <w:tcW w:w="2050" w:type="dxa"/>
            <w:vAlign w:val="center"/>
          </w:tcPr>
          <w:p>
            <w:pPr>
              <w:spacing w:after="30"/>
            </w:pPr>
            <w:r>
              <w:rPr>
                <w:b/>
                <w:sz w:val="17"/>
                <w:szCs w:val="17"/>
              </w:rPr>
              <w:t xml:space="preserve">M1 fixed-conservative</w:t>
            </w:r>
          </w:p>
        </w:tc>
        <w:tc>
          <w:tcPr>
            <w:tcW w:w="18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none (0.18 m/s cap)</w:t>
            </w:r>
          </w:p>
        </w:tc>
        <w:tc>
          <w:tcPr>
            <w:tcW w:w="125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8/8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110.8 ± 2.4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0.00</w:t>
            </w:r>
          </w:p>
        </w:tc>
        <w:tc>
          <w:tcPr>
            <w:tcW w:w="10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0.8 ± 0.2</w:t>
            </w:r>
          </w:p>
        </w:tc>
      </w:tr>
      <w:tr>
        <w:tc>
          <w:tcPr>
            <w:tcW w:w="2050" w:type="dxa"/>
            <w:vAlign w:val="center"/>
          </w:tcPr>
          <w:p>
            <w:pPr>
              <w:spacing w:after="30"/>
            </w:pPr>
            <w:r>
              <w:rPr>
                <w:b/>
                <w:sz w:val="17"/>
                <w:szCs w:val="17"/>
              </w:rPr>
              <w:t xml:space="preserve">Single-candidate governed</w:t>
            </w:r>
          </w:p>
        </w:tc>
        <w:tc>
          <w:tcPr>
            <w:tcW w:w="18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DCE, one analogy</w:t>
            </w:r>
          </w:p>
        </w:tc>
        <w:tc>
          <w:tcPr>
            <w:tcW w:w="125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5/8 (3 HELP)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106.2 ± 5.1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0.12 ± 0.24</w:t>
            </w:r>
          </w:p>
        </w:tc>
        <w:tc>
          <w:tcPr>
            <w:tcW w:w="10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0.5 ± 0.2</w:t>
            </w:r>
          </w:p>
        </w:tc>
      </w:tr>
      <w:tr>
        <w:tc>
          <w:tcPr>
            <w:tcW w:w="2050" w:type="dxa"/>
            <w:vAlign w:val="center"/>
          </w:tcPr>
          <w:p>
            <w:pPr>
              <w:spacing w:after="30"/>
            </w:pPr>
            <w:r>
              <w:rPr>
                <w:b/>
                <w:sz w:val="17"/>
                <w:szCs w:val="17"/>
              </w:rPr>
              <w:t xml:space="preserve">M2 payload (proposed)</w:t>
            </w:r>
          </w:p>
        </w:tc>
        <w:tc>
          <w:tcPr>
            <w:tcW w:w="18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DCE, payload task</w:t>
            </w:r>
          </w:p>
        </w:tc>
        <w:tc>
          <w:tcPr>
            <w:tcW w:w="125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8/8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107.9 ± 4.2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0.00</w:t>
            </w:r>
          </w:p>
        </w:tc>
        <w:tc>
          <w:tcPr>
            <w:tcW w:w="10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0.4 ± 0.2</w:t>
            </w:r>
          </w:p>
        </w:tc>
      </w:tr>
      <w:tr>
        <w:tc>
          <w:tcPr>
            <w:tcW w:w="2050" w:type="dxa"/>
            <w:vAlign w:val="center"/>
          </w:tcPr>
          <w:p>
            <w:pPr>
              <w:spacing w:after="30"/>
            </w:pPr>
            <w:r>
              <w:rPr>
                <w:b/>
                <w:sz w:val="17"/>
                <w:szCs w:val="17"/>
              </w:rPr>
              <w:t xml:space="preserve">M2 task-blind prior</w:t>
            </w:r>
          </w:p>
        </w:tc>
        <w:tc>
          <w:tcPr>
            <w:tcW w:w="18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DCE, lab-QoE config</w:t>
            </w:r>
          </w:p>
        </w:tc>
        <w:tc>
          <w:tcPr>
            <w:tcW w:w="125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8/8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108.2 ± 3.5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0.00</w:t>
            </w:r>
          </w:p>
        </w:tc>
        <w:tc>
          <w:tcPr>
            <w:tcW w:w="10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0.7 ± 0.2</w:t>
            </w:r>
          </w:p>
        </w:tc>
      </w:tr>
      <w:tr>
        <w:tc>
          <w:tcPr>
            <w:tcW w:w="2050" w:type="dxa"/>
            <w:vAlign w:val="center"/>
          </w:tcPr>
          <w:p>
            <w:pPr>
              <w:spacing w:after="30"/>
            </w:pPr>
            <w:r>
              <w:rPr>
                <w:b/>
                <w:sz w:val="17"/>
                <w:szCs w:val="17"/>
              </w:rPr>
              <w:t xml:space="preserve">M2 task-blind (twin-cal.)</w:t>
            </w:r>
          </w:p>
        </w:tc>
        <w:tc>
          <w:tcPr>
            <w:tcW w:w="18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DCE, twin-QoE config</w:t>
            </w:r>
          </w:p>
        </w:tc>
        <w:tc>
          <w:tcPr>
            <w:tcW w:w="125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7/8 (1 HELP)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106.6 ± 5.2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0.12 ± 0.24</w:t>
            </w:r>
          </w:p>
        </w:tc>
        <w:tc>
          <w:tcPr>
            <w:tcW w:w="10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0.8 ± 0.6</w:t>
            </w:r>
          </w:p>
        </w:tc>
      </w:tr>
      <w:tr>
        <w:tc>
          <w:tcPr>
            <w:tcW w:w="2050" w:type="dxa"/>
            <w:vAlign w:val="center"/>
          </w:tcPr>
          <w:p>
            <w:pPr>
              <w:spacing w:after="30"/>
            </w:pPr>
            <w:r>
              <w:rPr>
                <w:b/>
                <w:sz w:val="17"/>
                <w:szCs w:val="17"/>
              </w:rPr>
              <w:t xml:space="preserve">M2 Wrong-DST</w:t>
            </w:r>
          </w:p>
        </w:tc>
        <w:tc>
          <w:tcPr>
            <w:tcW w:w="18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DCE + Layer 2, lab-QoE</w:t>
            </w:r>
          </w:p>
        </w:tc>
        <w:tc>
          <w:tcPr>
            <w:tcW w:w="125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8/8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110.6 ± 0.9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0.00</w:t>
            </w:r>
          </w:p>
        </w:tc>
        <w:tc>
          <w:tcPr>
            <w:tcW w:w="10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0.7 ± 0.3</w:t>
            </w:r>
          </w:p>
        </w:tc>
      </w:tr>
      <w:tr>
        <w:tc>
          <w:tcPr>
            <w:tcW w:w="2050" w:type="dxa"/>
            <w:vAlign w:val="center"/>
          </w:tcPr>
          <w:p>
            <w:pPr>
              <w:spacing w:after="30"/>
            </w:pPr>
            <w:r>
              <w:rPr>
                <w:b/>
                <w:sz w:val="17"/>
                <w:szCs w:val="17"/>
              </w:rPr>
              <w:t xml:space="preserve">M2 Wrong-DST (twin-cal.)</w:t>
            </w:r>
          </w:p>
        </w:tc>
        <w:tc>
          <w:tcPr>
            <w:tcW w:w="18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DCE + Layer 2, twin-QoE</w:t>
            </w:r>
          </w:p>
        </w:tc>
        <w:tc>
          <w:tcPr>
            <w:tcW w:w="125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8/8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108.4 ± 4.4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0.00</w:t>
            </w:r>
          </w:p>
        </w:tc>
        <w:tc>
          <w:tcPr>
            <w:tcW w:w="10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0.6 ± 0.2</w:t>
            </w:r>
          </w:p>
        </w:tc>
      </w:tr>
      <w:tr>
        <w:tc>
          <w:tcPr>
            <w:tcW w:w="2050" w:type="dxa"/>
            <w:vAlign w:val="center"/>
          </w:tcPr>
          <w:p>
            <w:pPr>
              <w:spacing w:after="30"/>
            </w:pPr>
            <w:r>
              <w:rPr>
                <w:b/>
                <w:sz w:val="17"/>
                <w:szCs w:val="17"/>
              </w:rPr>
              <w:t xml:space="preserve">M0 sealed lid</w:t>
            </w:r>
          </w:p>
        </w:tc>
        <w:tc>
          <w:tcPr>
            <w:tcW w:w="18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w="125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6/6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88.1 ± 4.9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0.17 ± 0.33</w:t>
            </w:r>
          </w:p>
        </w:tc>
        <w:tc>
          <w:tcPr>
            <w:tcW w:w="10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10.6 ± 2.9</w:t>
            </w:r>
          </w:p>
        </w:tc>
      </w:tr>
      <w:tr>
        <w:tc>
          <w:tcPr>
            <w:tcW w:w="2050" w:type="dxa"/>
            <w:vAlign w:val="center"/>
          </w:tcPr>
          <w:p>
            <w:pPr>
              <w:spacing w:after="30"/>
            </w:pPr>
            <w:r>
              <w:rPr>
                <w:b/>
                <w:sz w:val="17"/>
                <w:szCs w:val="17"/>
              </w:rPr>
              <w:t xml:space="preserve">M2 sealed lid</w:t>
            </w:r>
          </w:p>
        </w:tc>
        <w:tc>
          <w:tcPr>
            <w:tcW w:w="18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DCE, lab-QoE config</w:t>
            </w:r>
          </w:p>
        </w:tc>
        <w:tc>
          <w:tcPr>
            <w:tcW w:w="125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4/6 (2 HELP)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111.5 ± 7.3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0.00</w:t>
            </w:r>
          </w:p>
        </w:tc>
        <w:tc>
          <w:tcPr>
            <w:tcW w:w="10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1.0 ± 0.4</w:t>
            </w:r>
          </w:p>
        </w:tc>
      </w:tr>
      <w:tr>
        <w:tc>
          <w:tcPr>
            <w:tcW w:w="2050" w:type="dxa"/>
            <w:vAlign w:val="center"/>
          </w:tcPr>
          <w:p>
            <w:pPr>
              <w:spacing w:after="30"/>
            </w:pPr>
            <w:r>
              <w:rPr>
                <w:b/>
                <w:sz w:val="17"/>
                <w:szCs w:val="17"/>
              </w:rPr>
              <w:t xml:space="preserve">M2 sealed lid (twin-cal.)</w:t>
            </w:r>
          </w:p>
        </w:tc>
        <w:tc>
          <w:tcPr>
            <w:tcW w:w="18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DCE, twin-QoE config</w:t>
            </w:r>
          </w:p>
        </w:tc>
        <w:tc>
          <w:tcPr>
            <w:tcW w:w="125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5/6 (1 HELP)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102.5 ± 2.2</w:t>
            </w:r>
          </w:p>
        </w:tc>
        <w:tc>
          <w:tcPr>
            <w:tcW w:w="13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0.17 ± 0.33</w:t>
            </w:r>
          </w:p>
        </w:tc>
        <w:tc>
          <w:tcPr>
            <w:tcW w:w="1000" w:type="dxa"/>
            <w:vAlign w:val="center"/>
          </w:tcPr>
          <w:p>
            <w:pPr>
              <w:spacing w:after="30"/>
            </w:pPr>
            <w:r>
              <w:rPr>
                <w:sz w:val="17"/>
                <w:szCs w:val="17"/>
              </w:rPr>
              <w:t xml:space="preserve">0.7 ± 0.5</w:t>
            </w:r>
          </w:p>
        </w:tc>
      </w:tr>
    </w:tbl>
    <w:p>
      <w:pPr>
        <w:spacing w:after="200" w:line="276" w:lineRule="auto"/>
      </w:pPr>
      <w:r>
        <w:rPr>
          <w:i/>
          <w:color w:val="595959"/>
          <w:sz w:val="18"/>
          <w:szCs w:val="18"/>
        </w:rPr>
        <w:t xml:space="preserve">Table 3. Full campaign results (82 valid runs). Lab-QoE = QoE boundaries calibrated on the physical laboratory; twin-QoE = re-calibrated from measured twin distributions.</w:t>
      </w:r>
    </w:p>
    <w:p>
      <w:pPr>
        <w:jc w:val="center"/>
        <w:spacing w:after="60"/>
      </w:pPr>
      <w:r>
        <w:drawing>
          <wp:inline xmlns:wp="http://schemas.openxmlformats.org/drawingml/2006/wordprocessingDrawing" distT="0" distB="0" distL="0" distR="0">
            <wp:extent cx="5294376" cy="3547872"/>
            <wp:docPr id="1" name="Fig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294376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276" w:lineRule="auto"/>
        <w:jc w:val="center"/>
      </w:pPr>
      <w:r>
        <w:rPr>
          <w:i/>
          <w:color w:val="595959"/>
          <w:sz w:val="18"/>
          <w:szCs w:val="18"/>
        </w:rPr>
        <w:t xml:space="preserve">Figure 1. Safety-time trade-off. The ungoverned baseline is fast but spills on half of its runs; every governed arm collapses into a zero/near-zero-spill cluster at a 25-35% time cost. The tightness of the cluster is itself the finding: governance outcome is robust to which prior is loaded.</w:t>
      </w:r>
    </w:p>
    <w:p>
      <w:pPr>
        <w:jc w:val="center"/>
        <w:spacing w:after="60"/>
      </w:pPr>
      <w:r>
        <w:drawing>
          <wp:inline xmlns:wp="http://schemas.openxmlformats.org/drawingml/2006/wordprocessingDrawing" distT="0" distB="0" distL="0" distR="0">
            <wp:extent cx="4974336" cy="3721608"/>
            <wp:docPr id="2" name="Fig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372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276" w:lineRule="auto"/>
        <w:jc w:val="center"/>
      </w:pPr>
      <w:r>
        <w:rPr>
          <w:i/>
          <w:color w:val="595959"/>
          <w:sz w:val="18"/>
          <w:szCs w:val="18"/>
        </w:rPr>
        <w:t xml:space="preserve">Figure 2. Continuous risk exposure by arm. The ungoverned arms (open and sealed lid) spend an order of magnitude more time near the spill threshold than any governed arm; the sealed lid reduces realised spills but not the exposure, confirming its gain is passive physics.</w:t>
      </w:r>
    </w:p>
    <w:p>
      <w:pPr>
        <w:spacing w:after="160" w:line="276" w:lineRule="auto"/>
      </w:pPr>
      <w:r>
        <w:rPr>
          <w:b/>
        </w:rPr>
        <w:t xml:space="preserve">Finding 1 — deployability governance converts spills into bounded time cost</w:t>
      </w:r>
      <w:r>
        <w:t xml:space="preserve"> (Fig. 1): M0 spills 0.50/run at 8.1% exposure; M2 payload governance eliminates spills (0/8; 0.4%) at +29% time with 8/8 completion. </w:t>
      </w:r>
      <w:r>
        <w:rPr>
          <w:b/>
        </w:rPr>
        <w:t xml:space="preserve">Finding 2 — HELP semantics</w:t>
      </w:r>
      <w:r>
        <w:t xml:space="preserve">: with a single-analogy candidate set, a mobility hard veto while pressing the corridor pinch empties the deployable set; sustained HELP aborts the run (3/8). This is the specified conservative non-selection behaviour, not a failure.</w:t>
      </w:r>
    </w:p>
    <w:p>
      <w:pPr>
        <w:jc w:val="center"/>
        <w:spacing w:after="60"/>
      </w:pPr>
      <w:r>
        <w:drawing>
          <wp:inline xmlns:wp="http://schemas.openxmlformats.org/drawingml/2006/wordprocessingDrawing" distT="0" distB="0" distL="0" distR="0">
            <wp:extent cx="4974336" cy="3113532"/>
            <wp:docPr id="3" name="Fig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311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276" w:lineRule="auto"/>
        <w:jc w:val="center"/>
      </w:pPr>
      <w:r>
        <w:rPr>
          <w:i/>
          <w:color w:val="595959"/>
          <w:sz w:val="18"/>
          <w:szCs w:val="18"/>
        </w:rPr>
        <w:t xml:space="preserve">Figure 3. The calibration-limited regime, observed live. The physical-lab QoE boundary for the efficient capability (0.75) sits above the twin’s cruise clearance distribution: the capability is never certifiable on the twin until the boundary is re-calibrated from measured distributions (0.60), per the interface-refinement pattern.</w:t>
      </w:r>
    </w:p>
    <w:p>
      <w:pPr>
        <w:spacing w:after="160" w:line="276" w:lineRule="auto"/>
      </w:pPr>
      <w:r>
        <w:rPr>
          <w:b/>
        </w:rPr>
        <w:t xml:space="preserve">Finding 3 — θ_QoE in deployment</w:t>
      </w:r>
      <w:r>
        <w:t xml:space="preserve"> (Fig. 3): the twin's clearance distribution is systematically narrower than the physical laboratory's; running the lab calibration unchanged leaves Efficient_Nav non-certifiable for entire runs. Re-calibration restored certification in open stretches without touching the reasoner or the physical-robot configuration.</w:t>
      </w:r>
    </w:p>
    <w:p>
      <w:pPr>
        <w:jc w:val="center"/>
        <w:spacing w:after="60"/>
      </w:pPr>
      <w:r>
        <w:drawing>
          <wp:inline xmlns:wp="http://schemas.openxmlformats.org/drawingml/2006/wordprocessingDrawing" distT="0" distB="0" distL="0" distR="0">
            <wp:extent cx="5047488" cy="2756916"/>
            <wp:docPr id="4" name="Fig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2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276" w:lineRule="auto"/>
        <w:jc w:val="center"/>
      </w:pPr>
      <w:r>
        <w:rPr>
          <w:i/>
          <w:color w:val="595959"/>
          <w:sz w:val="18"/>
          <w:szCs w:val="18"/>
        </w:rPr>
        <w:t xml:space="preserve">Figure 4. Lid-state deltas. The ungoverned baseline improves only through physics (fewer realised spills, identical exposure); the twin-calibrated governed system also converts the sealed lid into speed (102.5 ± 2.2 s vs 111.5 ± 7.3 s), a policy-level exploitation unavailable to fixed baselines.</w:t>
      </w:r>
    </w:p>
    <w:p>
      <w:pPr>
        <w:jc w:val="center"/>
        <w:spacing w:after="60"/>
      </w:pPr>
      <w:r>
        <w:drawing>
          <wp:inline xmlns:wp="http://schemas.openxmlformats.org/drawingml/2006/wordprocessingDrawing" distT="0" distB="0" distL="0" distR="0">
            <wp:extent cx="5632704" cy="3113532"/>
            <wp:docPr id="5" name="Fig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311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276" w:lineRule="auto"/>
        <w:jc w:val="center"/>
      </w:pPr>
      <w:r>
        <w:rPr>
          <w:i/>
          <w:color w:val="595959"/>
          <w:sz w:val="18"/>
          <w:szCs w:val="18"/>
        </w:rPr>
        <w:t xml:space="preserve">Figure 5. Cross-run analogical trust (Layer 2), mechanistic validation. Under a forced wrong prior with spills attributed to it, plausibility degrades 1.00 → 0.75 → 0.53 → 0.36 by Dempster fusion; crossing the blend threshold (0.70) progressively caps the analogy’s speed, and crossing the deployment veto (0.45) makes run 4 start pre-corrected in the conservative analogy.</w:t>
      </w:r>
    </w:p>
    <w:p>
      <w:pPr>
        <w:spacing w:after="160" w:line="276" w:lineRule="auto"/>
      </w:pPr>
      <w:r>
        <w:rPr>
          <w:b/>
        </w:rPr>
        <w:t xml:space="preserve">Finding 5 — temporal scales separate as designed</w:t>
      </w:r>
      <w:r>
        <w:t xml:space="preserve"> (Fig. 5): in the twin campaign the Wrong-DST arms show flat, spill-free sequences because per-tick shared-experience evidence (the Layer-1 timescale) corrects the task-blind prior within ≈ 4 s of each run — before any spill can occur — so the run-level trust layer receives no failure signal. The mechanism itself is validated in the controlled trace of Fig. 5. Its operational regime is the physical laboratory, where open-floor cruising genuinely certifies the fast capability and gait-induced spills are invisible to per-tick channels; the twenty-run physical campaign exercises it.</w:t>
      </w:r>
    </w:p>
    <w:p>
      <w:pPr>
        <w:spacing w:after="160" w:line="276" w:lineRule="auto"/>
      </w:pPr>
      <w:r>
        <w:rPr>
          <w:b/>
        </w:rPr>
        <w:t xml:space="preserve">Fidelity to theory.</w:t>
      </w:r>
      <w:r>
        <w:t xml:space="preserve"> Four of the five claims instantiated by the campaign are confirmed with statistics (Findings 1-4); the fifth is confirmed mechanistically with its operational regime correctly predicted to lie on the physical robot. Two artefacts were caught and corrected by consistency checking before affecting conclusions: a run with governance silently disabled (excluded) and a single-candidate arm originally mislabelled as the M1 baseline (retained as the HELP-semantics arm; a true fixed-cap M1 was added).</w:t>
      </w:r>
    </w:p>
    <w:p>
      <w:pPr>
        <w:spacing w:after="200" w:line="276" w:lineRule="auto"/>
      </w:pPr>
      <w:r>
        <w:rPr>
          <w:i/>
          <w:color w:val="595959"/>
          <w:sz w:val="20"/>
          <w:szCs w:val="20"/>
        </w:rPr>
        <w:t xml:space="preserve">Datasets, configurations, the aggregation script and figure-generation code are versioned with the robot stack (commits up to the 2026-07-04 campaign; four-layer architecture and runtime certification ratio added in rev. 2).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Img1" Type="http://schemas.openxmlformats.org/officeDocument/2006/relationships/image" Target="media/f1_tradeoff.png"/><Relationship Id="rIdImg2" Type="http://schemas.openxmlformats.org/officeDocument/2006/relationships/image" Target="media/f2_risk.png"/><Relationship Id="rIdImg3" Type="http://schemas.openxmlformats.org/officeDocument/2006/relationships/image" Target="media/f3_calibration.png"/><Relationship Id="rIdImg4" Type="http://schemas.openxmlformats.org/officeDocument/2006/relationships/image" Target="media/f5_lid.png"/><Relationship Id="rIdImg5" Type="http://schemas.openxmlformats.org/officeDocument/2006/relationships/image" Target="media/f4_layer2.png"/></Relationships>
</file>