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 w:line="264" w:lineRule="auto"/>
      </w:pPr>
      <w:r>
        <w:rPr>
          <w:b/>
          <w:color w:val="1F3864"/>
          <w:sz w:val="40"/>
          <w:szCs w:val="40"/>
        </w:rPr>
        <w:t xml:space="preserve">G1 Digital-Twin Payload Experiment</w:t>
      </w:r>
    </w:p>
    <w:p>
      <w:pPr>
        <w:spacing w:after="40" w:line="264" w:lineRule="auto"/>
      </w:pPr>
      <w:r>
        <w:rPr>
          <w:i/>
          <w:color w:val="595959"/>
          <w:sz w:val="22"/>
          <w:szCs w:val="22"/>
        </w:rPr>
        <w:t xml:space="preserve">Methods, spill model, governance algorithm, full results, mechanism analysis, benefits and theory-consistency audit — supporting material for Section VII.H</w:t>
      </w:r>
    </w:p>
    <w:p>
      <w:pPr>
        <w:spacing w:after="240" w:line="264" w:lineRule="auto"/>
      </w:pPr>
      <w:r>
        <w:rPr>
          <w:i/>
          <w:color w:val="595959"/>
          <w:sz w:val="20"/>
          <w:szCs w:val="20"/>
        </w:rPr>
        <w:t xml:space="preserve">Simulation campaigns 2026-07-04 · Unitree G1 · Gazebo (ROS 2 Humble) · 103 simulation runs, 86 valid governed/baseline runs across 12 arms · rev. 4 (adds §3.0 analogy correspondence, §3.3 stabiliser rationale, §7 mechanism account, §8 quantified benefits, §9 limitations)</w:t>
      </w:r>
    </w:p>
    <w:p>
      <w:pPr>
        <w:spacing w:after="80" w:line="264" w:lineRule="auto"/>
      </w:pPr>
      <w:r>
        <w:rPr>
          <w:b/>
          <w:color w:val="1F3864"/>
          <w:sz w:val="32"/>
          <w:szCs w:val="32"/>
        </w:rPr>
        <w:t xml:space="preserve">1.  Digital twin: Gazebo replica of the laboratory</w:t>
      </w:r>
    </w:p>
    <w:p>
      <w:pPr>
        <w:spacing w:after="150" w:line="264" w:lineRule="auto"/>
      </w:pPr>
      <w:r>
        <w:t xml:space="preserve">The physical robot is a Unitree G1 “Air” humanoid, a consumer unit whose only external interface is a single WebRTC session through the vendor app; the production navigation stack drives it by tapping that session over USB. For the twin we reuse </w:t>
      </w:r>
      <w:r>
        <w:rPr>
          <w:b/>
        </w:rPr>
        <w:t xml:space="preserve">the exact same stack, unmodified</w:t>
      </w:r>
      <w:r>
        <w:t xml:space="preserve">, and substitute only its interface object, so any behaviour observed in simulation is produced by the identical code deployed on hardware. This matters methodologically: nothing reported here is the behaviour of a simulation-specific controller.</w:t>
      </w:r>
    </w:p>
    <w:p>
      <w:pPr>
        <w:spacing w:after="150" w:line="264" w:lineRule="auto"/>
      </w:pPr>
      <w:r>
        <w:t xml:space="preserve">The simulator runs in a Docker container (ROS 2 Humble Desktop, Gazebo Classic, noVNC). The world, </w:t>
      </w:r>
      <w:r>
        <w:rPr>
          <w:b/>
        </w:rPr>
        <w:t xml:space="preserve">lab.world</w:t>
      </w:r>
      <w:r>
        <w:t xml:space="preserve">, is generated programmatically from the robot's own SLAM maps of the real laboratory: wall occupancy cells become 2.2 m box obstacles in the robot's coordinate frame, so the twin's geometry, waypoints (A, B, C) and the 0.8 m doorway coincide with the real deployment.</w:t>
      </w:r>
    </w:p>
    <w:p>
      <w:pPr>
        <w:spacing w:after="90" w:line="264" w:lineRule="auto"/>
      </w:pPr>
      <w:r>
        <w:rPr>
          <w:b/>
          <w:color w:val="2E74B5"/>
          <w:sz w:val="26"/>
          <w:szCs w:val="26"/>
        </w:rPr>
        <w:t xml:space="preserve">1.1  Robot model and physics</w:t>
      </w:r>
    </w:p>
    <w:p>
      <w:pPr>
        <w:spacing w:after="150" w:line="264" w:lineRule="auto"/>
      </w:pPr>
      <w:r>
        <w:t xml:space="preserve">The robot is spawned from a URDF whose collision geometry is a single box matching the G1's real envelope (0.44 m shoulder width × 1.10 m tall, capped below the simulated LiDAR at z ≈ 1.20 m so the sensor does not see itself). High mass (60 kg) and large diagonal inertia keep the base upright under the velocity-controlled gait; ground friction is zero so the planar-move plugin drives it as a velocity-controlled puck while wall contacts remain solid. Locomotion is commanded as gait velocity through gazebo_ros_planar_move (/cmd_vel, /odom back); a 360-ray LiDAR at 10 Hz publishes /scan. The doorway was re-carved to the measured physical opening after the collision model was corrected: with the original carve the clear gap was 0.42 m and the realistic body physically could not pass — an artefact caught by consistency checking before any campaign data was taken.</w:t>
      </w:r>
    </w:p>
    <w:p>
      <w:pPr>
        <w:spacing w:after="90" w:line="264" w:lineRule="auto"/>
      </w:pPr>
      <w:r>
        <w:rPr>
          <w:b/>
          <w:color w:val="2E74B5"/>
          <w:sz w:val="26"/>
          <w:szCs w:val="26"/>
        </w:rPr>
        <w:t xml:space="preserve">1.2  The adapter: same stack, simulated interface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Velocity commands</w:t>
      </w:r>
      <w:r>
        <w:t xml:space="preserve"> {lx, ly, rx, ry} → /cmd_vel, using the physical robot's measured stick-to-velocity mapping (deadzone subtracted, not clipped; ly = 0.40 → 0.30 m/s), so simulated and real dynamics coincide.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Pose</w:t>
      </w:r>
      <w:r>
        <w:t xml:space="preserve"> ← /odom (map and odometry frames coincide in simulation: no relocalisation jitter).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LiDAR</w:t>
      </w:r>
      <w:r>
        <w:t xml:space="preserve"> ← /scan, projected into a flat world-frame point cloud identical in shape to the real WebView decoder output.</w:t>
      </w:r>
    </w:p>
    <w:p>
      <w:pPr>
        <w:spacing w:after="150" w:line="264" w:lineRule="auto"/>
      </w:pPr>
      <w:r>
        <w:t xml:space="preserve">Camera perception is disabled in the twin; the LiDAR-driven planner and the governance layer are exercised in full. Data runs are always headless.</w:t>
      </w:r>
    </w:p>
    <w:p>
      <w:pPr>
        <w:spacing w:after="80"/>
      </w:pPr>
      <w:r>
        <w:br w:type="page"/>
      </w:r>
    </w:p>
    <w:p>
      <w:pPr>
        <w:spacing w:after="80" w:line="264" w:lineRule="auto"/>
      </w:pPr>
      <w:r>
        <w:rPr>
          <w:b/>
          <w:color w:val="1F3864"/>
          <w:sz w:val="32"/>
          <w:szCs w:val="32"/>
        </w:rPr>
        <w:t xml:space="preserve">2.  Spill model (payload hazard)</w:t>
      </w:r>
    </w:p>
    <w:p>
      <w:pPr>
        <w:spacing w:after="150" w:line="264" w:lineRule="auto"/>
      </w:pPr>
      <w:r>
        <w:t xml:space="preserve">Spilling is modelled physically, not as an arbitrary speed threshold. The water surface at the cup rim is a </w:t>
      </w:r>
      <w:r>
        <w:rPr>
          <w:b/>
        </w:rPr>
        <w:t xml:space="preserve">damped second-order oscillator</w:t>
      </w:r>
      <w:r>
        <w:t xml:space="preserve"> — the first sloshing mode of an open cylinder — excited by the horizontal acceleration of the cup:</w:t>
      </w:r>
    </w:p>
    <w:p>
      <w:pPr>
        <w:spacing w:after="110" w:line="264" w:lineRule="auto"/>
      </w:pPr>
      <w:r>
        <w:rPr>
          <w:rFonts w:ascii="Consolas" w:hAnsi="Consolas"/>
          <w:color w:val="333333"/>
          <w:sz w:val="18"/>
          <w:szCs w:val="18"/>
        </w:rPr>
        <w:t xml:space="preserve">ω₀ = sqrt( g · k₁ · tanh(k₁·h) ),  k₁ = 1.841 / R    (≈ 21 rad/s for R = 4 cm, h = 8 cm)</w:t>
      </w:r>
    </w:p>
    <w:p>
      <w:pPr>
        <w:spacing w:after="110" w:line="264" w:lineRule="auto"/>
      </w:pPr>
      <w:r>
        <w:rPr>
          <w:rFonts w:ascii="Consolas" w:hAnsi="Consolas"/>
          <w:color w:val="333333"/>
          <w:sz w:val="18"/>
          <w:szCs w:val="18"/>
        </w:rPr>
        <w:t xml:space="preserve">η̈ = −2·ζ·ω₀·η̇ − ω₀² · (η + R·a_cup/g)    per body axis,  ζ = 0.06</w:t>
      </w:r>
    </w:p>
    <w:p>
      <w:pPr>
        <w:spacing w:after="110" w:line="264" w:lineRule="auto"/>
      </w:pPr>
      <w:r>
        <w:rPr>
          <w:rFonts w:ascii="Consolas" w:hAnsi="Consolas"/>
          <w:color w:val="333333"/>
          <w:sz w:val="18"/>
          <w:szCs w:val="18"/>
        </w:rPr>
        <w:t xml:space="preserve">λ(t) = LID · λ₀ · max(0, |η|/freeboard − 1)² ,  λ₀ = 40 s⁻¹ ,  LID = 1.0 (open) / 0.25 (sealed)</w:t>
      </w:r>
    </w:p>
    <w:tbl>
      <w:tblPr>
        <w:tblW w:w="825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1350"/>
        <w:gridCol w:w="1900"/>
        <w:gridCol w:w="5000"/>
      </w:tblGrid>
      <w:tr>
        <w:tc>
          <w:tcPr>
            <w:tcW w:w="13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Parameter</w:t>
            </w:r>
          </w:p>
        </w:tc>
        <w:tc>
          <w:tcPr>
            <w:tcW w:w="19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Value</w:t>
            </w:r>
          </w:p>
        </w:tc>
        <w:tc>
          <w:tcPr>
            <w:tcW w:w="50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Physical meaning</w:t>
            </w:r>
          </w:p>
        </w:tc>
      </w:tr>
      <w:tr>
        <w:tc>
          <w:tcPr>
            <w:tcW w:w="1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R, h</w:t>
            </w:r>
          </w:p>
        </w:tc>
        <w:tc>
          <w:tcPr>
            <w:tcW w:w="19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0.04 m, 0.08 m</w:t>
            </w:r>
          </w:p>
        </w:tc>
        <w:tc>
          <w:tcPr>
            <w:tcW w:w="50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cup radius and water depth → first-mode frequency ω₀ ≈ 21 rad/s (3.4 Hz)</w:t>
            </w:r>
          </w:p>
        </w:tc>
      </w:tr>
      <w:tr>
        <w:tc>
          <w:tcPr>
            <w:tcW w:w="1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freeboard</w:t>
            </w:r>
          </w:p>
        </w:tc>
        <w:tc>
          <w:tcPr>
            <w:tcW w:w="19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12 mm</w:t>
            </w:r>
          </w:p>
        </w:tc>
        <w:tc>
          <w:tcPr>
            <w:tcW w:w="50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clearance from surface to rim; each spill loses 4 mm (water is lost) and halves the slosh energy</w:t>
            </w:r>
          </w:p>
        </w:tc>
      </w:tr>
      <w:tr>
        <w:tc>
          <w:tcPr>
            <w:tcW w:w="1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ζ</w:t>
            </w:r>
          </w:p>
        </w:tc>
        <w:tc>
          <w:tcPr>
            <w:tcW w:w="19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0.06</w:t>
            </w:r>
          </w:p>
        </w:tc>
        <w:tc>
          <w:tcPr>
            <w:tcW w:w="50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water + hand damping of the first mode</w:t>
            </w:r>
          </w:p>
        </w:tc>
      </w:tr>
      <w:tr>
        <w:tc>
          <w:tcPr>
            <w:tcW w:w="1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arm offset r</w:t>
            </w:r>
          </w:p>
        </w:tc>
        <w:tc>
          <w:tcPr>
            <w:tcW w:w="19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0.25 m</w:t>
            </w:r>
          </w:p>
        </w:tc>
        <w:tc>
          <w:tcPr>
            <w:tcW w:w="50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cup carried ahead of the base: a_cup = a_base + α×r + ω×(ω×r) — fast turning shakes the cup by the lever term</w:t>
            </w:r>
          </w:p>
        </w:tc>
      </w:tr>
      <w:tr>
        <w:tc>
          <w:tcPr>
            <w:tcW w:w="1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τ_accel</w:t>
            </w:r>
          </w:p>
        </w:tc>
        <w:tc>
          <w:tcPr>
            <w:tcW w:w="19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0.25 s</w:t>
            </w:r>
          </w:p>
        </w:tc>
        <w:tc>
          <w:tcPr>
            <w:tcW w:w="50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low-pass on commanded acceleration: the real G1 ramps velocity smoothly; the planar-move plugin steps it instantaneously</w:t>
            </w:r>
          </w:p>
        </w:tc>
      </w:tr>
      <w:tr>
        <w:tc>
          <w:tcPr>
            <w:tcW w:w="1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gait noise</w:t>
            </w:r>
          </w:p>
        </w:tc>
        <w:tc>
          <w:tcPr>
            <w:tcW w:w="19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σ_a = 2.2·v²/0.30</w:t>
            </w:r>
          </w:p>
        </w:tc>
        <w:tc>
          <w:tcPr>
            <w:tcW w:w="50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bipedal step energy grows ≈ v²; 1.4 Hz periodic component plus broadband — walking fast agitates the cup by itself</w:t>
            </w:r>
          </w:p>
        </w:tc>
      </w:tr>
      <w:tr>
        <w:tc>
          <w:tcPr>
            <w:tcW w:w="1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impact channel</w:t>
            </w:r>
          </w:p>
        </w:tc>
        <w:tc>
          <w:tcPr>
            <w:tcW w:w="19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raw decel &gt; 4 m/s² AND forward still commanded AND v &lt; 50% of commanded</w:t>
            </w:r>
          </w:p>
        </w:tc>
        <w:tc>
          <w:tcPr>
            <w:tcW w:w="50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an external impact decelerates the robot against its own command; a commanded stop does not spill (command-aware discrimination)</w:t>
            </w:r>
          </w:p>
        </w:tc>
      </w:tr>
      <w:tr>
        <w:tc>
          <w:tcPr>
            <w:tcW w:w="1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λ₀, exponent</w:t>
            </w:r>
          </w:p>
        </w:tc>
        <w:tc>
          <w:tcPr>
            <w:tcW w:w="19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40 s⁻¹, quadratic</w:t>
            </w:r>
          </w:p>
        </w:tc>
        <w:tc>
          <w:tcPr>
            <w:tcW w:w="50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non-homogeneous Poisson hazard: overflow volume grows superlinearly past the rim; memoryless given η</w:t>
            </w:r>
          </w:p>
        </w:tc>
      </w:tr>
      <w:tr>
        <w:tc>
          <w:tcPr>
            <w:tcW w:w="1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lid factor</w:t>
            </w:r>
          </w:p>
        </w:tc>
        <w:tc>
          <w:tcPr>
            <w:tcW w:w="19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× 0.25</w:t>
            </w:r>
          </w:p>
        </w:tc>
        <w:tc>
          <w:tcPr>
            <w:tcW w:w="50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sealed travel mug (same factor as the 2-D thesis study, 5.3.6.4)</w:t>
            </w:r>
          </w:p>
        </w:tc>
      </w:tr>
    </w:tbl>
    <w:p>
      <w:pPr>
        <w:spacing w:after="160" w:line="264" w:lineRule="auto"/>
      </w:pPr>
      <w:r>
        <w:rPr>
          <w:i/>
          <w:color w:val="595959"/>
          <w:sz w:val="18"/>
          <w:szCs w:val="18"/>
        </w:rPr>
        <w:t xml:space="preserve">Table 1. Spill-model parameters (all environment-tunable; defaults shown).</w:t>
      </w:r>
    </w:p>
    <w:p>
      <w:pPr>
        <w:spacing w:after="150" w:line="264" w:lineRule="auto"/>
      </w:pPr>
      <w:r>
        <w:rPr>
          <w:b/>
        </w:rPr>
        <w:t xml:space="preserve">Why this construction.</w:t>
      </w:r>
      <w:r>
        <w:t xml:space="preserve"> The Poisson-on-exceedance form makes spills stochastic but physically anchored: hazard is zero while the surface stays below the rim, and grows quadratically past it, so jerk-rich trajectories (sharp turns, impacts, fast gait) dominate risk rather than speed per se — the design principle carried over from the 2-D thesis study (5.3.1.3). The command-aware impact channel was added after a measured artefact: the plugin's instantaneous velocity steps at commanded stops read as 6 m/s² decelerations and produced fake spills at goal arrival; discriminating on 'decelerates against its own command' removed them while preserving genuine impacts. Calibration against logged trajectories yields ≈ 2 spills per 80 s of sustained 0.30 m/s cruising and ≈ 0 at the governed 0.18 m/s ceiling. The model is </w:t>
      </w:r>
      <w:r>
        <w:rPr>
          <w:b/>
        </w:rPr>
        <w:t xml:space="preserve">observational only</w:t>
      </w:r>
      <w:r>
        <w:t xml:space="preserve"> — it never alters physics or control — and the identical event channel accepts the </w:t>
      </w:r>
      <w:r>
        <w:rPr>
          <w:b/>
        </w:rPr>
        <w:t xml:space="preserve">manual ground-truth mark</w:t>
      </w:r>
      <w:r>
        <w:t xml:space="preserve"> for the physical robot (a keypress or an empty ROS message per observed spill, timestamped into the same dataset field), so simulated and real runs are scored identically.</w:t>
      </w:r>
    </w:p>
    <w:p>
      <w:pPr>
        <w:spacing w:after="80"/>
      </w:pPr>
      <w:r>
        <w:br w:type="page"/>
      </w:r>
    </w:p>
    <w:p>
      <w:pPr>
        <w:spacing w:after="80" w:line="264" w:lineRule="auto"/>
      </w:pPr>
      <w:r>
        <w:rPr>
          <w:b/>
          <w:color w:val="1F3864"/>
          <w:sz w:val="32"/>
          <w:szCs w:val="32"/>
        </w:rPr>
        <w:t xml:space="preserve">3.  Governance algorithm (DCE runtime)</w:t>
      </w:r>
    </w:p>
    <w:p>
      <w:pPr>
        <w:spacing w:after="90" w:line="264" w:lineRule="auto"/>
      </w:pPr>
      <w:r>
        <w:rPr>
          <w:b/>
          <w:color w:val="2E74B5"/>
          <w:sz w:val="26"/>
          <w:szCs w:val="26"/>
        </w:rPr>
        <w:t xml:space="preserve">3.0  The analogy library: base domains carried from the thesis</w:t>
      </w:r>
    </w:p>
    <w:p>
      <w:pPr>
        <w:spacing w:after="150" w:line="264" w:lineRule="auto"/>
      </w:pPr>
      <w:r>
        <w:t xml:space="preserve">The candidate set is not a set of controller gains — it is an </w:t>
      </w:r>
      <w:r>
        <w:rPr>
          <w:b/>
        </w:rPr>
        <w:t xml:space="preserve">analogy library</w:t>
      </w:r>
      <w:r>
        <w:t xml:space="preserve"> in the sense of thesis §5.1: each entry packages the evaluative structure of a past, structurally-similar experience (attention vector over meta-parameters, QoE expectations per meta-parameter, hard vetoes, and a policy ceiling). Selecting an analogy is therefore a meta-level act: the robot imports how a situation of this kind should be evaluated, before any local evidence exists. Table 2 gives the correspondence with the 2-D study's base domains.</w:t>
      </w:r>
    </w:p>
    <w:tbl>
      <w:tblPr>
        <w:tblW w:w="925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2650"/>
        <w:gridCol w:w="1400"/>
        <w:gridCol w:w="2600"/>
        <w:gridCol w:w="2600"/>
      </w:tblGrid>
      <w:tr>
        <w:tc>
          <w:tcPr>
            <w:tcW w:w="26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Thesis base domain (Table 17)</w:t>
            </w:r>
          </w:p>
        </w:tc>
        <w:tc>
          <w:tcPr>
            <w:tcW w:w="14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Signature [safety, urgency]</w:t>
            </w:r>
          </w:p>
        </w:tc>
        <w:tc>
          <w:tcPr>
            <w:tcW w:w="26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G1 analogy / configuration</w:t>
            </w:r>
          </w:p>
        </w:tc>
        <w:tc>
          <w:tcPr>
            <w:tcW w:w="26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Policy character</w:t>
            </w:r>
          </w:p>
        </w:tc>
      </w:tr>
      <w:tr>
        <w:tc>
          <w:tcPr>
            <w:tcW w:w="26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careful_waiter (hot drinks, fragile cargo)</w:t>
            </w:r>
          </w:p>
        </w:tc>
        <w:tc>
          <w:tcPr>
            <w:tcW w:w="14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[0.90, 0.10]</w:t>
            </w:r>
          </w:p>
        </w:tc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Cautious_Nav — preferred in the payload task configuration</w:t>
            </w:r>
          </w:p>
        </w:tc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0.18 m/s ceiling, safety-dominant attentions, fragility hard veto</w:t>
            </w:r>
          </w:p>
        </w:tc>
      </w:tr>
      <w:tr>
        <w:tc>
          <w:tcPr>
            <w:tcW w:w="26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efficient_courier (standard parcel)</w:t>
            </w:r>
          </w:p>
        </w:tc>
        <w:tc>
          <w:tcPr>
            <w:tcW w:w="14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[0.20, 0.80]</w:t>
            </w:r>
          </w:p>
        </w:tc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Efficient_Nav — preferred in the door-task configuration</w:t>
            </w:r>
          </w:p>
        </w:tc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uncapped (≈ 0.30 m/s), progression-dominant attentions</w:t>
            </w:r>
          </w:p>
        </w:tc>
      </w:tr>
      <w:tr>
        <w:tc>
          <w:tcPr>
            <w:tcW w:w="26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covered_delivery (sealed container)</w:t>
            </w:r>
          </w:p>
        </w:tc>
        <w:tc>
          <w:tcPr>
            <w:tcW w:w="14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[0.65, 0.35]</w:t>
            </w:r>
          </w:p>
        </w:tc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Efficient-preferred configuration selected under the sealed-lid task flag</w:t>
            </w:r>
          </w:p>
        </w:tc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faster profile justified by reduced hazard — the task-conditioned switch of thesis 5.3.6.4</w:t>
            </w:r>
          </w:p>
        </w:tc>
      </w:tr>
      <w:tr>
        <w:tc>
          <w:tcPr>
            <w:tcW w:w="26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no_analogy (neutral prior)</w:t>
            </w:r>
          </w:p>
        </w:tc>
        <w:tc>
          <w:tcPr>
            <w:tcW w:w="14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[0.50, 0.50]</w:t>
            </w:r>
          </w:p>
        </w:tc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played by the ungoverned baselines M0 / M1</w:t>
            </w:r>
          </w:p>
        </w:tc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fixed policies, no evaluative structure</w:t>
            </w:r>
          </w:p>
        </w:tc>
      </w:tr>
    </w:tbl>
    <w:p>
      <w:pPr>
        <w:spacing w:after="160" w:line="264" w:lineRule="auto"/>
      </w:pPr>
      <w:r>
        <w:rPr>
          <w:i/>
          <w:color w:val="595959"/>
          <w:sz w:val="18"/>
          <w:szCs w:val="18"/>
        </w:rPr>
        <w:t xml:space="preserve">Table 2. Correspondence between the thesis analogy library and the G1 configurations. On the G1, analogy selection is task-conditioned (the operator states the task; the configuration encodes the analogy), the within-run arbitration validates the selection against live shared experience, and the cross-run trust layer validates it against outcomes — the same select-then-validate cycle as thesis §5.2.</w:t>
      </w:r>
    </w:p>
    <w:p>
      <w:pPr>
        <w:spacing w:after="90" w:line="264" w:lineRule="auto"/>
      </w:pPr>
      <w:r>
        <w:rPr>
          <w:b/>
          <w:color w:val="2E74B5"/>
          <w:sz w:val="26"/>
          <w:szCs w:val="26"/>
        </w:rPr>
        <w:t xml:space="preserve">3.1  Decision pipeline</w:t>
      </w:r>
    </w:p>
    <w:p>
      <w:pPr>
        <w:spacing w:after="150" w:line="264" w:lineRule="auto"/>
      </w:pPr>
      <w:r>
        <w:t xml:space="preserve">The reasoner (Meta-Reasoner 2.0, configuration-first, pure Python, untouched throughout all campaigns) is fed at 2 Hz through a bridge that packages the stack's per-tick telemetry as shared-experience readings. Each tick it evaluates every analogy against its QoE boundaries — analogy-level DST intervals (belief / current / plausibility), semantic-region memory with direction inference, tension with attention-ratio exponents, fulfilment, required-meta, uncertainty and hard-veto gates — and returns KEEP / SWITCH / FALLBACK / HELP / INSUFFICIENT plus the active analogy. The bridge maps the decision to a forward-speed ceiling (Efficient = uncapped ≈ 0.30 m/s, Cautious = 0.18 m/s, FALLBACK = 0.14 m/s, HELP = 0); reversing and turning during recoveries are never throttled.</w:t>
      </w:r>
    </w:p>
    <w:tbl>
      <w:tblPr>
        <w:tblW w:w="700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1700"/>
        <w:gridCol w:w="3200"/>
        <w:gridCol w:w="2100"/>
      </w:tblGrid>
      <w:tr>
        <w:tc>
          <w:tcPr>
            <w:tcW w:w="17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Meta-parameter</w:t>
            </w:r>
          </w:p>
        </w:tc>
        <w:tc>
          <w:tcPr>
            <w:tcW w:w="32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Source (per-tick telemetry)</w:t>
            </w:r>
          </w:p>
        </w:tc>
        <w:tc>
          <w:tcPr>
            <w:tcW w:w="21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Role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safety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clearance = c0 / 1.5 m (LiDAR forward free space)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QoE regions + hard veto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progression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goal-approach rate / 0.30 m/s (2 s window)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required-meta threshold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mobility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achieved / commanded speed (1.2 s window)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resistance channel, hard veto (pressing an unseen obstacle)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fragility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payload state: 1.0 intact, drops per spill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hard veto (payload task)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reliability / uncertainty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sensing monitor + few-shot historical margin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DST belief interval width</w:t>
            </w:r>
          </w:p>
        </w:tc>
      </w:tr>
    </w:tbl>
    <w:p>
      <w:pPr>
        <w:spacing w:after="90" w:line="264" w:lineRule="auto"/>
      </w:pPr>
      <w:r>
        <w:rPr>
          <w:b/>
          <w:color w:val="2E74B5"/>
          <w:sz w:val="26"/>
          <w:szCs w:val="26"/>
        </w:rPr>
        <w:t xml:space="preserve">3.2  Bridge stabilisers: every knob answers a measured failure</w:t>
      </w:r>
    </w:p>
    <w:p>
      <w:pPr>
        <w:spacing w:after="150" w:line="264" w:lineRule="auto"/>
      </w:pPr>
      <w:r>
        <w:t xml:space="preserve">The bridge between raw telemetry and the reasoner is not free-form smoothing; each mechanism exists because a specific failure was measured without it (all on logged real-robot or twin data):</w:t>
      </w:r>
    </w:p>
    <w:tbl>
      <w:tblPr>
        <w:tblW w:w="925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2300"/>
        <w:gridCol w:w="4600"/>
        <w:gridCol w:w="2350"/>
      </w:tblGrid>
      <w:tr>
        <w:tc>
          <w:tcPr>
            <w:tcW w:w="23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Mechanism</w:t>
            </w:r>
          </w:p>
        </w:tc>
        <w:tc>
          <w:tcPr>
            <w:tcW w:w="46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Failure it corrects (measured)</w:t>
            </w:r>
          </w:p>
        </w:tc>
        <w:tc>
          <w:tcPr>
            <w:tcW w:w="23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Setting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Median-of-5 readings (~2.5 s)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instantaneous SEI progression flickers 0 ↔ 0.5 tick-to-tick; raw replay of a real run produced 12 spurious switches in 88 s</w:t>
            </w:r>
          </w:p>
        </w:tc>
        <w:tc>
          <w:tcPr>
            <w:tcW w:w="2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window 5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Few-shot uncertainty margin (thesis P10)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one-shot DST margins let a metric oscillating across a QoE boundary pass as plausible on a lucky read; offline A/B chose k = 0.4 (clean-run FALLBACK +9 pp, the 584-s failure run cleanly separated at 72%)</w:t>
            </w:r>
          </w:p>
        </w:tc>
        <w:tc>
          <w:tcPr>
            <w:tcW w:w="2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u = u_inst + 0.4·σ_window, cap 0.35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Switch hysteresis, asymmetric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start-up stop-and-go produced 4 switches in 10 s with symmetric persistence; classic hysteresis: fast toward caution, slow toward confidence</w:t>
            </w:r>
          </w:p>
        </w:tc>
        <w:tc>
          <w:tcPr>
            <w:tcW w:w="2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 3 → cautious, 6 → preferred; margin 0.08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Action persistence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single-tick FALLBACK blips acted on the ceiling</w:t>
            </w:r>
          </w:p>
        </w:tc>
        <w:tc>
          <w:tcPr>
            <w:tcW w:w="2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2 consecutive, else logged as advisory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Warm-up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metrics ramp from zero at start and mis-classified the first seconds</w:t>
            </w:r>
          </w:p>
        </w:tc>
        <w:tc>
          <w:tcPr>
            <w:tcW w:w="2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first 4 decisions observe only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Commanded-rotation hold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progression = 0 during deliberate alignment (door engagement) read as stagnation: 41% false FALLBACK in one run</w:t>
            </w:r>
          </w:p>
        </w:tc>
        <w:tc>
          <w:tcPr>
            <w:tcW w:w="2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freeze progression at last real median while rotating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Experience escalation (thesis P9)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a 584-s limit-cycle run: the reasoner said FALLBACK/HELP for minutes but nothing escalated; replayed fix aborts at t ≈ 94 s with 0/6 false aborts on clean runs</w:t>
            </w:r>
          </w:p>
        </w:tc>
        <w:tc>
          <w:tcPr>
            <w:tcW w:w="23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HELP ≥ 8 s, or 75 s window ≥ 60% firm FALLBACK/HELP with &lt; 0.4 m progress → abort</w:t>
            </w:r>
          </w:p>
        </w:tc>
      </w:tr>
    </w:tbl>
    <w:p>
      <w:pPr>
        <w:spacing w:after="160" w:line="264" w:lineRule="auto"/>
      </w:pPr>
      <w:r>
        <w:rPr>
          <w:i/>
          <w:color w:val="595959"/>
          <w:sz w:val="18"/>
          <w:szCs w:val="18"/>
        </w:rPr>
        <w:t xml:space="preserve">Table 3. Evidence-driven stabilisers in the bridge. None modify the reasoner; all are documented, environment-revertible, and were validated by counterfactual replay over logged runs before deployment.</w:t>
      </w:r>
    </w:p>
    <w:p>
      <w:pPr>
        <w:spacing w:after="90" w:line="264" w:lineRule="auto"/>
      </w:pPr>
      <w:r>
        <w:rPr>
          <w:b/>
          <w:color w:val="2E74B5"/>
          <w:sz w:val="26"/>
          <w:szCs w:val="26"/>
        </w:rPr>
        <w:t xml:space="preserve">3.3  Realising the four-layer belief architecture of thesis Chapter 5</w:t>
      </w:r>
    </w:p>
    <w:tbl>
      <w:tblPr>
        <w:tblW w:w="925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2500"/>
        <w:gridCol w:w="950"/>
        <w:gridCol w:w="4600"/>
        <w:gridCol w:w="1200"/>
      </w:tblGrid>
      <w:tr>
        <w:tc>
          <w:tcPr>
            <w:tcW w:w="25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Thesis layer</w:t>
            </w:r>
          </w:p>
        </w:tc>
        <w:tc>
          <w:tcPr>
            <w:tcW w:w="9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Timescale</w:t>
            </w:r>
          </w:p>
        </w:tc>
        <w:tc>
          <w:tcPr>
            <w:tcW w:w="46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G1 realisation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Status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L1 — path-hazard plausibility (Pl_H): collapse transfer, force conservative</w:t>
            </w:r>
          </w:p>
        </w:tc>
        <w:tc>
          <w:tcPr>
            <w:tcW w:w="9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sensor frame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Per-tick analogy-level DST on the safety reading with QoE regions and hard veto inside the reasoner (strips certification in ~2 ticks; measured ≈4 s correction of a task-blind prior), over the stack's own hard safety guards</w:t>
            </w:r>
          </w:p>
        </w:tc>
        <w:tc>
          <w:tcPr>
            <w:tcW w:w="1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covered (equivalent mechanism)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L2 — analogy transfer trust (Pl_analogy): outcome evidence per run</w:t>
            </w:r>
          </w:p>
        </w:tc>
        <w:tc>
          <w:tcPr>
            <w:tcW w:w="9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run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Per-analogy Dempster–Shafer belief {match, mismatch, Θ} persisted between runs (G1_M2_STATE); spill → mismatch mass attributed to the analogy governing at the spill instant, clean run → match mass; Pl &lt; 0.70 blends the ceiling toward conservative, Pl &lt; 0.45 vetoes deployment and corrects the start-up prior</w:t>
            </w:r>
          </w:p>
        </w:tc>
        <w:tc>
          <w:tcPr>
            <w:tcW w:w="1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implemented; exercised in campaign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L3 — environment relevance (Pl_env): relax / escalate spatial assumptions</w:t>
            </w:r>
          </w:p>
        </w:tc>
        <w:tc>
          <w:tcPr>
            <w:tcW w:w="9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run (continuous)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EMA of the median clearance relative to the active analogy's expected boundary, clamped to [0.85, 1.15]; scales profile ceilings only (never FALLBACK/HELP; bounds 0.22-0.40)</w:t>
            </w:r>
          </w:p>
        </w:tc>
        <w:tc>
          <w:tcPr>
            <w:tcW w:w="1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implemented; in-loop validated (§5.1)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L4 — Meta-Attention: chronic low fulfilment despite high trust → profile mismatch</w:t>
            </w:r>
          </w:p>
        </w:tc>
        <w:tc>
          <w:tcPr>
            <w:tcW w:w="9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deployment (run window)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Per-run mean fulfilment history persisted with the L2 state; fulfilment &lt; 0.45 over 3 consecutive runs with Pl ≥ 0.45 under the same profile → start-up re-selection of the alternative profile. The experience-escalation abort covers the within-run part of this timescale</w:t>
            </w:r>
          </w:p>
        </w:tc>
        <w:tc>
          <w:tcPr>
            <w:tcW w:w="1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implemented; in-loop validated (§5.1)</w:t>
            </w:r>
          </w:p>
        </w:tc>
      </w:tr>
    </w:tbl>
    <w:p>
      <w:pPr>
        <w:spacing w:after="160" w:line="264" w:lineRule="auto"/>
      </w:pPr>
      <w:r>
        <w:rPr>
          <w:i/>
          <w:color w:val="595959"/>
          <w:sz w:val="18"/>
          <w:szCs w:val="18"/>
        </w:rPr>
        <w:t xml:space="preserve">Table 4. Thesis Ch. 5 four-layer architecture mapped to the G1 runtime. All four layers live in the bridge; the meta-reasoner itself is untouched.</w:t>
      </w:r>
    </w:p>
    <w:p>
      <w:pPr>
        <w:spacing w:after="150" w:line="264" w:lineRule="auto"/>
      </w:pPr>
      <w:r>
        <w:t xml:space="preserve">Two details differ from the 2-D study, both additive: the </w:t>
      </w:r>
      <w:r>
        <w:rPr>
          <w:b/>
        </w:rPr>
        <w:t xml:space="preserve">fragility channel acts within the run</w:t>
      </w:r>
      <w:r>
        <w:t xml:space="preserve"> (one spill → caution ≈ 0.52, two → FALLBACK band ≈ 0.31, three or more → dangerous &lt; 0.12 and a hard-veto HELP; ~25 s recovery — possible because the runtime does DST per tick, whereas the 2-D study received spill evidence only per run), and spill evidence is </w:t>
      </w:r>
      <w:r>
        <w:rPr>
          <w:b/>
        </w:rPr>
        <w:t xml:space="preserve">attributed to the analogy governing at the moment of the spill</w:t>
      </w:r>
      <w:r>
        <w:t xml:space="preserve">, sharpening Layer-2 credit assignment.</w:t>
      </w:r>
    </w:p>
    <w:p>
      <w:pPr>
        <w:spacing w:after="90" w:line="264" w:lineRule="auto"/>
      </w:pPr>
      <w:r>
        <w:rPr>
          <w:b/>
          <w:color w:val="2E74B5"/>
          <w:sz w:val="26"/>
          <w:szCs w:val="26"/>
        </w:rPr>
        <w:t xml:space="preserve">3.4  Runtime certification ratio (ρ_DCA)</w:t>
      </w:r>
    </w:p>
    <w:p>
      <w:pPr>
        <w:spacing w:after="110" w:line="264" w:lineRule="auto"/>
      </w:pPr>
      <w:r>
        <w:rPr>
          <w:rFonts w:ascii="Consolas" w:hAnsi="Consolas"/>
          <w:color w:val="333333"/>
          <w:sz w:val="18"/>
          <w:szCs w:val="18"/>
        </w:rPr>
        <w:t xml:space="preserve">ρ̂ = max(0, Δmargin) / ( task_uncertainty_gap(winner) + 0.5·θ_mismatch(winner) + 0.02 )</w:t>
      </w:r>
    </w:p>
    <w:p>
      <w:pPr>
        <w:spacing w:after="150" w:line="264" w:lineRule="auto"/>
      </w:pPr>
      <w:r>
        <w:t xml:space="preserve">Δmargin is the stable-fulfilment gap between the two best deployable candidates (or the distance to the certification threshold when only one is deployable); task_uncertainty_gap is the DST-measured calibration budget (the θ_QoE proxy); θ_mismatch is the L2 distance between normalised task and analogy attention vectors (from configuration; B constants set to 1, ξ_rep declared unmeasured at runtime). Controlled validation reproduces the paper's regimes — ρ̂ = 1.50 with clean readings versus 0.58 under degraded, oscillating readings — and live traces are analysed in §5.1. The value is recorded per decision (meta2_rho), so certification traces analogous to Table V of the manuscript can be produced from any run.</w:t>
      </w:r>
    </w:p>
    <w:p>
      <w:pPr>
        <w:spacing w:after="80"/>
      </w:pPr>
      <w:r>
        <w:br w:type="page"/>
      </w:r>
    </w:p>
    <w:p>
      <w:pPr>
        <w:spacing w:after="80" w:line="264" w:lineRule="auto"/>
      </w:pPr>
      <w:r>
        <w:rPr>
          <w:b/>
          <w:color w:val="1F3864"/>
          <w:sz w:val="32"/>
          <w:szCs w:val="32"/>
        </w:rPr>
        <w:t xml:space="preserve">4.  Campaign protocol and arm configurations</w:t>
      </w:r>
    </w:p>
    <w:p>
      <w:pPr>
        <w:spacing w:after="150" w:line="264" w:lineRule="auto"/>
      </w:pPr>
      <w:r>
        <w:t xml:space="preserve">103 simulation runs in total: 82 valid formal-campaign runs across 11 governance arms (8 per arm; 6 for sealed-lid arms), a 4-run pre-deployment validation arm (§5.1), development and validation runs, and one run excluded by audit (governance silently disabled by a mid-campaign code edit — detected from per-tick telemetry and discarded). Every run resets Gazebo to a fresh world with the robot at waypoint A and executes an autonomous A→B traverse headless with a watchdog (SIGINT saves the dataset exactly as a manual stop). Arms alternate to share machine-load drift; datasets are tagged env=sim with a per-arm identifier; statistics are mean ± 95% CI (1.96·s/√n), the thesis protocol. Because the twin runs at ≈ 0.5 real-time factor, the experience-escalation windows are scaled ×2 (documented; identical across governed arms).</w:t>
      </w:r>
    </w:p>
    <w:tbl>
      <w:tblPr>
        <w:tblW w:w="925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2600"/>
        <w:gridCol w:w="6650"/>
      </w:tblGrid>
      <w:tr>
        <w:tc>
          <w:tcPr>
            <w:tcW w:w="26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Arm</w:t>
            </w:r>
          </w:p>
        </w:tc>
        <w:tc>
          <w:tcPr>
            <w:tcW w:w="66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Configuration (environment flags)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M0 baseline</w:t>
            </w:r>
          </w:p>
        </w:tc>
        <w:tc>
          <w:tcPr>
            <w:tcW w:w="66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G1_META2=0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M1 fixed-conservative</w:t>
            </w:r>
          </w:p>
        </w:tc>
        <w:tc>
          <w:tcPr>
            <w:tcW w:w="66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G1_META2=0, G1_VCAP=0.28 (fixed ceiling, no reasoner, no vetoes, no aborts)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Single-candidate governed</w:t>
            </w:r>
          </w:p>
        </w:tc>
        <w:tc>
          <w:tcPr>
            <w:tcW w:w="66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G1_META2=2, conservative configuration (Cautious only)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M2 payload (proposed)</w:t>
            </w:r>
          </w:p>
        </w:tc>
        <w:tc>
          <w:tcPr>
            <w:tcW w:w="66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G1_META2=2, payload configuration (Cautious preferred, fragility channel)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M2 task-blind / Wrong-DST</w:t>
            </w:r>
          </w:p>
        </w:tc>
        <w:tc>
          <w:tcPr>
            <w:tcW w:w="66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G1_META2=2, door configuration (lab or twin QoE); Wrong-DST adds G1_M2_STATE (fresh per arm)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Sealed-lid arms</w:t>
            </w:r>
          </w:p>
        </w:tc>
        <w:tc>
          <w:tcPr>
            <w:tcW w:w="66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G1_SPILL_LID=closed; governed variant uses the covered-delivery (Efficient-preferred) configuration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Pre-deployment (§5.1)</w:t>
            </w:r>
          </w:p>
        </w:tc>
        <w:tc>
          <w:tcPr>
            <w:tcW w:w="66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G1_META2=2, payload config, G1_M2_STATE + G1_M2_L3=1 + G1_M2_L4=1 (full four-layer stack)</w:t>
            </w:r>
          </w:p>
        </w:tc>
      </w:tr>
    </w:tbl>
    <w:p>
      <w:pPr>
        <w:spacing w:after="160" w:line="264" w:lineRule="auto"/>
      </w:pPr>
      <w:r>
        <w:rPr>
          <w:i/>
          <w:color w:val="595959"/>
          <w:sz w:val="18"/>
          <w:szCs w:val="18"/>
        </w:rPr>
        <w:t xml:space="preserve">Table 5. Arm configurations. Full reproduction: sim_campaign.py (arms via CAMPAIGN_ARMS) + analyze_campaign.py; all datasets, configs and scripts are versioned with the stack.</w:t>
      </w:r>
    </w:p>
    <w:p>
      <w:pPr>
        <w:spacing w:after="80" w:line="264" w:lineRule="auto"/>
      </w:pPr>
      <w:r>
        <w:rPr>
          <w:b/>
          <w:color w:val="1F3864"/>
          <w:sz w:val="32"/>
          <w:szCs w:val="32"/>
        </w:rPr>
        <w:t xml:space="preserve">5.  Results</w:t>
      </w:r>
    </w:p>
    <w:tbl>
      <w:tblPr>
        <w:tblW w:w="870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2050"/>
        <w:gridCol w:w="1800"/>
        <w:gridCol w:w="1250"/>
        <w:gridCol w:w="1300"/>
        <w:gridCol w:w="1300"/>
        <w:gridCol w:w="1000"/>
      </w:tblGrid>
      <w:tr>
        <w:tc>
          <w:tcPr>
            <w:tcW w:w="20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6"/>
                <w:szCs w:val="16"/>
              </w:rPr>
              <w:t xml:space="preserve">Arm</w:t>
            </w:r>
          </w:p>
        </w:tc>
        <w:tc>
          <w:tcPr>
            <w:tcW w:w="18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6"/>
                <w:szCs w:val="16"/>
              </w:rPr>
              <w:t xml:space="preserve">Governance</w:t>
            </w:r>
          </w:p>
        </w:tc>
        <w:tc>
          <w:tcPr>
            <w:tcW w:w="12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6"/>
                <w:szCs w:val="16"/>
              </w:rPr>
              <w:t xml:space="preserve">Reached</w:t>
            </w:r>
          </w:p>
        </w:tc>
        <w:tc>
          <w:tcPr>
            <w:tcW w:w="13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6"/>
                <w:szCs w:val="16"/>
              </w:rPr>
              <w:t xml:space="preserve">Time (s)</w:t>
            </w:r>
          </w:p>
        </w:tc>
        <w:tc>
          <w:tcPr>
            <w:tcW w:w="13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6"/>
                <w:szCs w:val="16"/>
              </w:rPr>
              <w:t xml:space="preserve">Spills/run</w:t>
            </w:r>
          </w:p>
        </w:tc>
        <w:tc>
          <w:tcPr>
            <w:tcW w:w="10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6"/>
                <w:szCs w:val="16"/>
              </w:rPr>
              <w:t xml:space="preserve">Risk (%)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6"/>
                <w:szCs w:val="16"/>
              </w:rPr>
              <w:t xml:space="preserve">M0 baseline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none (0.30 m/s)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83.4 ± 5.2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0.50 ± 0.37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8.1 ± 1.4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6"/>
                <w:szCs w:val="16"/>
              </w:rPr>
              <w:t xml:space="preserve">M1 fixed-conservative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none (0.18 m/s cap)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110.8 ± 2.4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0.8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6"/>
                <w:szCs w:val="16"/>
              </w:rPr>
              <w:t xml:space="preserve">Single-candidate governed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DCE, one analogy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5/8 (3 HELP)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106.2 ± 5.1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0.12 ± 0.24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0.5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6"/>
                <w:szCs w:val="16"/>
              </w:rPr>
              <w:t xml:space="preserve">M2 payload (proposed)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DCE, payload task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107.9 ± 4.2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0.4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6"/>
                <w:szCs w:val="16"/>
              </w:rPr>
              <w:t xml:space="preserve">M2 task-blind prior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DCE, lab-QoE config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108.2 ± 3.5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0.7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6"/>
                <w:szCs w:val="16"/>
              </w:rPr>
              <w:t xml:space="preserve">M2 task-blind (twin-cal.)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DCE, twin-QoE config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7/8 (1 HELP)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106.6 ± 5.2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0.12 ± 0.24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0.8 ± 0.6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6"/>
                <w:szCs w:val="16"/>
              </w:rPr>
              <w:t xml:space="preserve">M2 Wrong-DST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DCE + Layer 2, lab-QoE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110.6 ± 0.9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0.7 ± 0.3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6"/>
                <w:szCs w:val="16"/>
              </w:rPr>
              <w:t xml:space="preserve">M2 Wrong-DST (twin-cal.)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DCE + Layer 2, twin-QoE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108.4 ± 4.4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0.6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6"/>
                <w:szCs w:val="16"/>
              </w:rPr>
              <w:t xml:space="preserve">M0 sealed lid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none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6/6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88.1 ± 4.9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0.17 ± 0.33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10.6 ± 2.9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6"/>
                <w:szCs w:val="16"/>
              </w:rPr>
              <w:t xml:space="preserve">M2 sealed lid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DCE, lab-QoE config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4/6 (2 HELP)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111.5 ± 7.3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1.0 ± 0.4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6"/>
                <w:szCs w:val="16"/>
              </w:rPr>
              <w:t xml:space="preserve">M2 sealed lid (twin-cal.)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DCE, twin-QoE config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5/6 (1 HELP)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102.5 ± 2.2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0.17 ± 0.33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6"/>
                <w:szCs w:val="16"/>
              </w:rPr>
              <w:t xml:space="preserve">0.7 ± 0.5</w:t>
            </w:r>
          </w:p>
        </w:tc>
      </w:tr>
    </w:tbl>
    <w:p>
      <w:pPr>
        <w:spacing w:after="200" w:line="264" w:lineRule="auto"/>
      </w:pPr>
      <w:r>
        <w:rPr>
          <w:i/>
          <w:color w:val="595959"/>
          <w:sz w:val="18"/>
          <w:szCs w:val="18"/>
        </w:rPr>
        <w:t xml:space="preserve">Table 6. Full campaign results (82 valid runs). Lab-QoE = QoE boundaries calibrated on the physical laboratory; twin-QoE = re-calibrated from measured twin distributions. Aggregate across ALL 64 governed runs (any prior, calibration, lid state or layer configuration): 3 spills total = 0.047/run, versus 0.50/run ungoverned — a 10.6× reduction; every governed run that completed did so without collisions; zero spills in the FIRST run of all nine governed arms (zero-shot).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294376" cy="3547872"/>
            <wp:docPr id="1" name="Fig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1"/>
                    <pic:cNvPicPr/>
                  </pic:nvPicPr>
                  <pic:blipFill>
                    <a:blip xmlns:r="http://schemas.openxmlformats.org/officeDocument/2006/relationships"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294376" cy="354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64" w:lineRule="auto"/>
        <w:jc w:val="center"/>
      </w:pPr>
      <w:r>
        <w:rPr>
          <w:i/>
          <w:color w:val="595959"/>
          <w:sz w:val="18"/>
          <w:szCs w:val="18"/>
        </w:rPr>
        <w:t xml:space="preserve">Figure 1. Safety-time trade-off. The ungoverned baseline is fast but spills on half of its runs; every governed arm collapses into a zero/near-zero-spill cluster at a 25-35% time cost. The tightness of the cluster is itself the finding: governance outcome is robust to which prior is loaded.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4974336" cy="3721608"/>
            <wp:docPr id="2" name="Fig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2"/>
                    <pic:cNvPicPr/>
                  </pic:nvPicPr>
                  <pic:blipFill>
                    <a:blip xmlns:r="http://schemas.openxmlformats.org/officeDocument/2006/relationships"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974336" cy="372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64" w:lineRule="auto"/>
        <w:jc w:val="center"/>
      </w:pPr>
      <w:r>
        <w:rPr>
          <w:i/>
          <w:color w:val="595959"/>
          <w:sz w:val="18"/>
          <w:szCs w:val="18"/>
        </w:rPr>
        <w:t xml:space="preserve">Figure 2. Continuous risk exposure by arm. The ungoverned arms (open and sealed lid) spend an order of magnitude more time near the spill threshold than any governed arm; the sealed lid reduces realised spills but not the exposure, confirming its gain is passive physics.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4974336" cy="3113532"/>
            <wp:docPr id="3" name="Fig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3"/>
                    <pic:cNvPicPr/>
                  </pic:nvPicPr>
                  <pic:blipFill>
                    <a:blip xmlns:r="http://schemas.openxmlformats.org/officeDocument/2006/relationships"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4974336" cy="311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64" w:lineRule="auto"/>
        <w:jc w:val="center"/>
      </w:pPr>
      <w:r>
        <w:rPr>
          <w:i/>
          <w:color w:val="595959"/>
          <w:sz w:val="18"/>
          <w:szCs w:val="18"/>
        </w:rPr>
        <w:t xml:space="preserve">Figure 3. The calibration-limited regime, observed live: the physical-lab QoE boundary (0.75) sits above the twin’s cruise clearance distribution; re-calibration from measured distributions (0.60) restores certification, per the interface-refinement pattern.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047488" cy="2756916"/>
            <wp:docPr id="4" name="Fig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4"/>
                    <pic:cNvPicPr/>
                  </pic:nvPicPr>
                  <pic:blipFill>
                    <a:blip xmlns:r="http://schemas.openxmlformats.org/officeDocument/2006/relationships"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275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64" w:lineRule="auto"/>
        <w:jc w:val="center"/>
      </w:pPr>
      <w:r>
        <w:rPr>
          <w:i/>
          <w:color w:val="595959"/>
          <w:sz w:val="18"/>
          <w:szCs w:val="18"/>
        </w:rPr>
        <w:t xml:space="preserve">Figure 4. Lid-state deltas: passive physics for the ungoverned baseline versus policy-level exploitation by the twin-calibrated governed system (102.5 ± 2.2 s vs 111.5 ± 7.3 s).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632704" cy="3113532"/>
            <wp:docPr id="5" name="Fig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5"/>
                    <pic:cNvPicPr/>
                  </pic:nvPicPr>
                  <pic:blipFill>
                    <a:blip xmlns:r="http://schemas.openxmlformats.org/officeDocument/2006/relationships"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632704" cy="311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64" w:lineRule="auto"/>
        <w:jc w:val="center"/>
      </w:pPr>
      <w:r>
        <w:rPr>
          <w:i/>
          <w:color w:val="595959"/>
          <w:sz w:val="18"/>
          <w:szCs w:val="18"/>
        </w:rPr>
        <w:t xml:space="preserve">Figure 5. Cross-run analogical trust (Layer 2), mechanistic validation: plausibility degrades 1.00 → 0.75 → 0.53 → 0.36 under a forced wrong prior, and run 4 starts pre-corrected.</w:t>
      </w:r>
    </w:p>
    <w:p>
      <w:pPr>
        <w:spacing w:after="90" w:line="264" w:lineRule="auto"/>
      </w:pPr>
      <w:r>
        <w:rPr>
          <w:b/>
          <w:color w:val="2E74B5"/>
          <w:sz w:val="26"/>
          <w:szCs w:val="26"/>
        </w:rPr>
        <w:t xml:space="preserve">5.1  Pre-deployment validation of the full four-layer configuration</w:t>
      </w:r>
    </w:p>
    <w:p>
      <w:pPr>
        <w:spacing w:after="150" w:line="264" w:lineRule="auto"/>
      </w:pPr>
      <w:r>
        <w:t xml:space="preserve">Before the physical campaign, the exact configuration recommended for the real robot (Layers 1-4 active, belief state persisted, ρ̂ logged) ran a dedicated 4-run arm: 4/4 reached, </w:t>
      </w:r>
      <w:r>
        <w:rPr>
          <w:b/>
        </w:rPr>
        <w:t xml:space="preserve">zero spills, zero governed aborts</w:t>
      </w:r>
      <w:r>
        <w:t xml:space="preserve"> (97.4 ± 5.6 s; risk 1.5 ± 0.7%). Layer 3 modulated the ceiling within [0.24, 0.32] without oscillation (2.7-2.8% of consecutive decisions changed it by more than 0.005) and recovered roughly a third of the governance time cost (97.4 s vs 107.9 s) while the surface never crossed the spill threshold (peak |η|/freeboard ≤ 0.99). The persisted state stayed healthy: both plausibilities 1.0 after four clean runs, per-run fulfilment 0.72-0.77 — no false profile re-selection.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157216" cy="3127248"/>
            <wp:docPr id="6" name="Fig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6"/>
                    <pic:cNvPicPr/>
                  </pic:nvPicPr>
                  <pic:blipFill>
                    <a:blip xmlns:r="http://schemas.openxmlformats.org/officeDocument/2006/relationships"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157216" cy="312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64" w:lineRule="auto"/>
        <w:jc w:val="center"/>
      </w:pPr>
      <w:r>
        <w:rPr>
          <w:i/>
          <w:color w:val="595959"/>
          <w:sz w:val="18"/>
          <w:szCs w:val="18"/>
        </w:rPr>
        <w:t xml:space="preserve">Figure 6. Live ρ̂ trace from a pre-deployment run. The ratio is HIGH inside the corridor/doorway (median 1.25: readings are steady, the conservative decision is unambiguous — certified) and LOW in open cruising (median ≈ 0.4: clearance flickers, DST intervals widen, and the fast-versus-careful arbitration is genuinely fragile — boundary regime). The certificate flags where arbitration is vulnerable, not where the environment is dangerous.</w:t>
      </w:r>
    </w:p>
    <w:p>
      <w:pPr>
        <w:spacing w:after="150" w:line="264" w:lineRule="auto"/>
      </w:pPr>
      <w:r>
        <w:t xml:space="preserve">ρ̂ certifies </w:t>
      </w:r>
      <w:r>
        <w:rPr>
          <w:b/>
        </w:rPr>
        <w:t xml:space="preserve">decision robustness</w:t>
      </w:r>
      <w:r>
        <w:t xml:space="preserve">, not situational safety. In the doorway the world is unambiguous and the decision margin dwarfs the perturbation budget; in open stretches the flickering laser widens the few-shot DST margins and the profile arbitration is genuinely contestable — exactly the conservative behaviour the theory prescribes (hysteresis holds the incumbent; FALLBACK bursts concentrate there). The absolute scale of ρ̂ depends on the instantiation constants (B = 1); calibrating them so that ρ̂ ≥ 1 empirically coincides with decisions that never need reversal is a planned exercise over the physical-robot traces.</w:t>
      </w:r>
    </w:p>
    <w:p>
      <w:pPr>
        <w:spacing w:after="80"/>
      </w:pPr>
      <w:r>
        <w:br w:type="page"/>
      </w:r>
    </w:p>
    <w:p>
      <w:pPr>
        <w:spacing w:after="80" w:line="264" w:lineRule="auto"/>
      </w:pPr>
      <w:r>
        <w:rPr>
          <w:b/>
          <w:color w:val="1F3864"/>
          <w:sz w:val="32"/>
          <w:szCs w:val="32"/>
        </w:rPr>
        <w:t xml:space="preserve">6.  Consistency with theory: claim-by-claim audit</w:t>
      </w:r>
    </w:p>
    <w:p>
      <w:pPr>
        <w:spacing w:after="150" w:line="264" w:lineRule="auto"/>
      </w:pPr>
      <w:r>
        <w:t xml:space="preserve">Every claim the campaign instantiates, with verdict. No claim was found inconsistent; two artefacts were caught by the audit process itself and corrected before affecting conclusions (a run with governance silently disabled, excluded; a single-candidate arm originally mislabelled as the M1 baseline, retained as the HELP-semantics arm).</w:t>
      </w:r>
    </w:p>
    <w:p>
      <w:pPr>
        <w:spacing w:after="90" w:line="264" w:lineRule="auto"/>
      </w:pPr>
      <w:r>
        <w:rPr>
          <w:b/>
          <w:color w:val="2E74B5"/>
          <w:sz w:val="26"/>
          <w:szCs w:val="26"/>
        </w:rPr>
        <w:t xml:space="preserve">6.1  Paper (Decentralised Capability Abstraction)</w:t>
      </w:r>
    </w:p>
    <w:tbl>
      <w:tblPr>
        <w:tblW w:w="925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3300"/>
        <w:gridCol w:w="4100"/>
        <w:gridCol w:w="1850"/>
      </w:tblGrid>
      <w:tr>
        <w:tc>
          <w:tcPr>
            <w:tcW w:w="33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Claim</w:t>
            </w:r>
          </w:p>
        </w:tc>
        <w:tc>
          <w:tcPr>
            <w:tcW w:w="41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Evidence</w:t>
            </w:r>
          </w:p>
        </w:tc>
        <w:tc>
          <w:tcPr>
            <w:tcW w:w="18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Verdict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Availability ≠ deployability: governance certifies capabilities against current experience, not reachability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Governed arms de-certify the fast capability by context; 0.50 → 0.00 spills/run at +29% time, 8/8 completion (Table 6, Fig. 1)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(statistical)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Conservative non-selection: an empty deployable set must yield FALLBACK/HELP, never silent persistence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Single-candidate arm: mobility hard veto at the corridor pinch → sustained HELP → governed abort (3/8); same semantics in 3 further lid-arm runs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(semantics observed)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Calibration-limited regime (θ_QoE, Table IV): interface quality bounds decision quality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Physical-lab QoE on the twin leaves the efficient capability non-certifiable; measured distributions → re-calibration restores it (Fig. 3)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(observed live)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Robustness certification ρ_DCA separates stable / boundary / non-certifiable regimes (Table V)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Runtime instantiation logged per decision: 1.50 clean vs 0.58 degraded (controlled); live traces certified in unambiguous zones, boundary under flickering readings (Fig. 6)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ordinally; absolute scale pending B-calibration on physical traces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Hidden context is handled by compressing it into shared experience, interpreted per capability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Task-blind prior corrected within ≈4 s from per-tick shared-experience readings alone, before any failure materialises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(measured)</w:t>
            </w:r>
          </w:p>
        </w:tc>
      </w:tr>
    </w:tbl>
    <w:p>
      <w:pPr>
        <w:spacing w:after="90" w:line="264" w:lineRule="auto"/>
      </w:pPr>
      <w:r>
        <w:rPr>
          <w:b/>
          <w:color w:val="2E74B5"/>
          <w:sz w:val="26"/>
          <w:szCs w:val="26"/>
        </w:rPr>
        <w:t xml:space="preserve">6.2  Thesis (Chapter 5)</w:t>
      </w:r>
    </w:p>
    <w:tbl>
      <w:tblPr>
        <w:tblW w:w="925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3300"/>
        <w:gridCol w:w="4100"/>
        <w:gridCol w:w="1850"/>
      </w:tblGrid>
      <w:tr>
        <w:tc>
          <w:tcPr>
            <w:tcW w:w="33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Claim</w:t>
            </w:r>
          </w:p>
        </w:tc>
        <w:tc>
          <w:tcPr>
            <w:tcW w:w="41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Evidence</w:t>
            </w:r>
          </w:p>
        </w:tc>
        <w:tc>
          <w:tcPr>
            <w:tcW w:w="18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Verdict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Safety ordering M0 &lt; M1 ≈ M2, with M2 adaptive rather than rigid (5.3.6.1, 5.3.6.3.1)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M0: 0.50 spills, 8.1% risk; M1 and M2: 0 spills. M2 alone re-certifies speed when conditions permit (L3 arm: 97.4 s vs M1 110.8 s at equal safety)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Zero-shot task-conditioned prior selection (5.3.6.4 lid flag → covered_delivery)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Sealed-lid governed arm on the calibrated twin: −9 s versus open-cup governance at equal safety; ungoverned baseline gains only passively (Fig. 4)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A wrong prior is recoverable through belief revision, never locked in (5.3.6.2-5.3.6.3)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Layer-2 Dempster fusion: Pl 1.00 → 0.75 → 0.53 → 0.36 under attributed spills; run 4 starts pre-corrected (Fig. 5). In the twin the failure signal is pre-empted by the faster layer; operational regime predicted to be the physical laboratory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mechanistically; physical-robot exercise pending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Jerk — not speed alone — dominates spill risk (5.3.1.3)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Slosh model driven by acceleration (arm lever, gait ∝ v², impact impulses); commanded smooth stops do not spill, impacts and fast sustained gait do; calibrated ≈2 spills / 80 s at 0.30 m/s sustained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by construction + calibration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Four belief layers at separated timescales, each catching a distinct failure mode (5.2.6.3)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All four realised (Table 4); L1/L2 exercised in campaign, L3/L4 validated in-loop (§5.1). The twin measures the L1-dominant regime — the timescale separation itself — with the L2-dominant regime correctly assigned to the physical lab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Confirmed; one regime per platform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Multi-environment generality (domestic/warehouse × clear/cluttered)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One environment (the laboratory twin) with open-versus-corridor contrast only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Not tested in the twin — covered by the 2-D study; physical campaign adds the real lab</w:t>
            </w:r>
          </w:p>
        </w:tc>
      </w:tr>
    </w:tbl>
    <w:p>
      <w:pPr>
        <w:spacing w:after="80"/>
      </w:pPr>
      <w:r>
        <w:br w:type="page"/>
      </w:r>
    </w:p>
    <w:p>
      <w:pPr>
        <w:spacing w:after="80" w:line="264" w:lineRule="auto"/>
      </w:pPr>
      <w:r>
        <w:rPr>
          <w:b/>
          <w:color w:val="1F3864"/>
          <w:sz w:val="32"/>
          <w:szCs w:val="32"/>
        </w:rPr>
        <w:t xml:space="preserve">7.  Why it works: a mechanism-level account</w:t>
      </w:r>
    </w:p>
    <w:p>
      <w:pPr>
        <w:spacing w:after="150" w:line="264" w:lineRule="auto"/>
      </w:pPr>
      <w:r>
        <w:t xml:space="preserve">The results are not an emergent accident of tuning; each can be traced to a specific mechanism, and each mechanism to the failure it exists to prevent. Six causal steps carry the whole architecture:</w:t>
      </w:r>
    </w:p>
    <w:p>
      <w:pPr>
        <w:spacing w:after="150" w:line="264" w:lineRule="auto"/>
      </w:pPr>
      <w:r>
        <w:rPr>
          <w:b/>
        </w:rPr>
        <w:t xml:space="preserve">(1) The analogy supplies structure that cannot be learned in time.</w:t>
      </w:r>
      <w:r>
        <w:t xml:space="preserve"> Spill physics is not observable a priori by any onboard sensor, and exploring it empirically means breaking cups — the thesis's two founding constraints (online policy trapping and open-world scope collapse, §5 intro) hold literally here. The analogy imports a complete evaluative structure from a structurally similar base domain — attentions, QoE expectations, vetoes, a policy ceiling — so the robot starts already knowing that carrying an open liquid means safety dominates urgency. Measured consequence: </w:t>
      </w:r>
      <w:r>
        <w:rPr>
          <w:b/>
        </w:rPr>
        <w:t xml:space="preserve">zero spills in the first run of all nine governed arms</w:t>
      </w:r>
      <w:r>
        <w:t xml:space="preserve">. No exploration paid for that knowledge.</w:t>
      </w:r>
    </w:p>
    <w:p>
      <w:pPr>
        <w:spacing w:after="150" w:line="264" w:lineRule="auto"/>
      </w:pPr>
      <w:r>
        <w:rPr>
          <w:b/>
        </w:rPr>
        <w:t xml:space="preserve">(2) Shared experience makes hidden context actionable without a world model.</w:t>
      </w:r>
      <w:r>
        <w:t xml:space="preserve"> Five scalar meta-parameters — clearance, progression, mobility, fragility, reliability — were sufficient for the governance outcome; no fluid model, no map of the cup, no learned dynamics. This is the paper's compression claim made concrete: the hidden variable (slosh state) never appears in the interface, yet its deployability consequence does (through fragility after outcomes, and through the analogy's speed ceiling before them).</w:t>
      </w:r>
    </w:p>
    <w:p>
      <w:pPr>
        <w:spacing w:after="150" w:line="264" w:lineRule="auto"/>
      </w:pPr>
      <w:r>
        <w:rPr>
          <w:b/>
        </w:rPr>
        <w:t xml:space="preserve">(3) DST provides the right epistemology for certification.</w:t>
      </w:r>
      <w:r>
        <w:t xml:space="preserve"> Readings enter as intervals (belief / plausibility) whose width is earned from measured noise and historical consistency — the few-shot margin. A metric that flickers across a QoE boundary widens its own interval and cannot be certified by a lucky sample; genuine first-run ignorance is represented as uncommitted mass rather than a fabricated probability; and Dempster fusion is order-independent, so run-level evidence accumulates without trajectory artefacts. This is why wrong priors neither lock in (evidence erodes them: Fig. 5) nor flap (consistency is required to certify).</w:t>
      </w:r>
    </w:p>
    <w:p>
      <w:pPr>
        <w:spacing w:after="150" w:line="264" w:lineRule="auto"/>
      </w:pPr>
      <w:r>
        <w:rPr>
          <w:b/>
        </w:rPr>
        <w:t xml:space="preserve">(4) Refusal is a first-class outcome.</w:t>
      </w:r>
      <w:r>
        <w:t xml:space="preserve"> An optimiser always returns its argmax; a governance layer must be able to return nothing is deployable. The hard-veto path (mobility while pressing, fragility after repeated spills) empties the candidate set and produces sustained HELP and a governed abort — observed 6 times, each a correct refusal, never a silent push. This is the paper's conservative non-selection, and it is what makes the system safe under conditions its designers did not anticipate.</w:t>
      </w:r>
    </w:p>
    <w:p>
      <w:pPr>
        <w:spacing w:after="150" w:line="264" w:lineRule="auto"/>
      </w:pPr>
      <w:r>
        <w:rPr>
          <w:b/>
        </w:rPr>
        <w:t xml:space="preserve">(5) Temporal decomposition assigns each failure mode to the cheapest sufficient corrector.</w:t>
      </w:r>
      <w:r>
        <w:t xml:space="preserve"> Per-tick evidence corrects a mis-selected prior in ≈ 4 s — before any spill can happen — so the run-level layer never even sees a failure in the twin; the run-level layer catches what per-tick channels are blind to (gait-induced spills at legal clearance, the physical-lab regime); the deployment layer catches profile mismatch that neither can see. The twin campaign measured the first regime and the controlled trace validated the second: the separation of timescales is not an assumption, it is an observation (Table 4, Figs. 5-6).</w:t>
      </w:r>
    </w:p>
    <w:p>
      <w:pPr>
        <w:spacing w:after="150" w:line="264" w:lineRule="auto"/>
      </w:pPr>
      <w:r>
        <w:rPr>
          <w:b/>
        </w:rPr>
        <w:t xml:space="preserve">(6) Every decision is auditable, and the audit works.</w:t>
      </w:r>
      <w:r>
        <w:t xml:space="preserve"> Each tick logs action, active analogy, per-analogy rejection reasons, tension, fulfilment, plausibilities, environment scale and ρ̂. That instrumentation is not cosmetic: it is what detected the one corrupted run (governance silently off — visible as null governance fields), what diagnosed the calibration-limited regime (Fig. 3), and what produced every figure in this document directly from run data. Accountability is a property of the architecture, not of the write-up.</w:t>
      </w:r>
    </w:p>
    <w:p>
      <w:pPr>
        <w:spacing w:after="80" w:line="264" w:lineRule="auto"/>
      </w:pPr>
      <w:r>
        <w:rPr>
          <w:b/>
          <w:color w:val="1F3864"/>
          <w:sz w:val="32"/>
          <w:szCs w:val="32"/>
        </w:rPr>
        <w:t xml:space="preserve">8.  Benefits of meta-reasoning with analogy — quantified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Safety, robustly: 10.6× fewer spills.</w:t>
      </w:r>
      <w:r>
        <w:t xml:space="preserve"> Across ALL 64 governed runs — every prior, both calibrations, both lid states, any layer configuration — 3 spills total (0.047/run) versus 0.50/run ungoverned; risk exposure drops from 8-11% of run time to ≤ 1-2%. The benefit does not depend on choosing the right configuration: it is a property of governance itself.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Zero-shot competence: no exploratory cost.</w:t>
      </w:r>
      <w:r>
        <w:t xml:space="preserve"> First-run spills across the nine governed arms: 0/9. The analogical prior places the robot in a productive, safe regime from the first second of deployment — the 2-D study's convergence-at-run-1 (5.3.6.3.3), reproduced with physics.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Bounded, tunable time cost.</w:t>
      </w:r>
      <w:r>
        <w:t xml:space="preserve"> Governance costs +29% time in the plain configuration and +17% with the environment-relevance layer active (97.4 s vs 83.4 s baseline) at equal safety. The overhead is a dial (Layer 3, profile choice), not a tax.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Safe to be wrong: prior error is absorbed.</w:t>
      </w:r>
      <w:r>
        <w:t xml:space="preserve"> Loading a task-blind prior changed the outcome by +0.3% time and zero spills (108.2 ± 3.5 vs 107.9 ± 4.2). Contrast the unprotected wrong prior in the 2-D study: 12.7× the spill rate and evaluation collapse (SE 37.6 → 1.8). With arbitration plus trust revision, the cost of a wrong analogy is bounded and recoverable; without them it is catastrophic.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Principled refusal.</w:t>
      </w:r>
      <w:r>
        <w:t xml:space="preserve"> Six governed aborts, each from a sustained empty deployable set; every completed governed run was collision-free. A system that cannot refuse cannot be trusted with a payload.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Interpretability end-to-end.</w:t>
      </w:r>
      <w:r>
        <w:t xml:space="preserve"> Any decision can be answered with named quantities: which analogy, why the others were rejected (per-analogy reasons), how tense, how fulfilled, how plausible, how certified (ρ̂). The corrupted-run detection and the calibration diagnosis were performed from logs alone, in minutes.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Configuration-first transfer.</w:t>
      </w:r>
      <w:r>
        <w:t xml:space="preserve"> Lab → twin adaptation was four JSON numbers derived from measured percentiles (no code, no retraining); task transfer (open → sealed cup) is selecting a configuration; the reasoner was never modified across 103 runs, two platforms and twelve arms.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Runtime economy.</w:t>
      </w:r>
      <w:r>
        <w:t xml:space="preserve"> Pure-Python reasoner at 2 Hz, no GPU, no training loop, unchanged from consumer-robot hardware to simulator — deployable on anything that can run the stack.</w:t>
      </w:r>
    </w:p>
    <w:p>
      <w:pPr>
        <w:spacing w:after="80" w:line="264" w:lineRule="auto"/>
      </w:pPr>
      <w:r>
        <w:rPr>
          <w:b/>
          <w:color w:val="1F3864"/>
          <w:sz w:val="32"/>
          <w:szCs w:val="32"/>
        </w:rPr>
        <w:t xml:space="preserve">9.  Limitations and threats to validity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Kinematic twin.</w:t>
      </w:r>
      <w:r>
        <w:t xml:space="preserve"> The robot is a velocity-controlled body with synthesized gait excitation, not simulated biped dynamics; contacts appear as pressing/stalls rather than impacts at speed, so the impact-impulse spill channel is under-exercised in simulation (it will be exercised physically).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Spill model plausibility, not fluid-dynamics validation.</w:t>
      </w:r>
      <w:r>
        <w:t xml:space="preserve"> Parameters are physically motivated and calibrated for plausible rates; the manual ground-truth channel on the real robot provides the external check.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One environment, n = 8 per arm.</w:t>
      </w:r>
      <w:r>
        <w:t xml:space="preserve"> Zero-spill contrasts are unambiguous; time contrasts within ± 5 s should not be over-read. Multi-environment generality rests on the 2-D study; the physical campaign adds the real laboratory.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Real-time factor ≈ 0.5.</w:t>
      </w:r>
      <w:r>
        <w:t xml:space="preserve"> Wall-clock durations are dilated ~2× relative to sim time, identically across arms; escalation windows were scaled accordingly and documented.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Camera channel disabled in the twin.</w:t>
      </w:r>
      <w:r>
        <w:t xml:space="preserve"> Governance inputs are LiDAR-derived; the physical robot adds the vision channels (floor-colour, depth, detection) to the same interface.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ρ̂ absolute scale uncalibrated.</w:t>
      </w:r>
      <w:r>
        <w:t xml:space="preserve"> Ordinal behaviour matches theory; choosing B constants so that ρ̂ ≥ 1 coincides empirically with never-reversed decisions is planned over physical traces.</w:t>
      </w:r>
    </w:p>
    <w:p>
      <w:pPr>
        <w:numPr>
          <w:ilvl w:val="0"/>
          <w:numId w:val="1"/>
        </w:numPr>
        <w:spacing w:after="70" w:line="264" w:lineRule="auto"/>
      </w:pPr>
      <w:r>
        <w:rPr>
          <w:b/>
        </w:rPr>
        <w:t xml:space="preserve">Layers 3-4 in-loop evidence is 4 runs.</w:t>
      </w:r>
      <w:r>
        <w:t xml:space="preserve"> Sufficient for no-regression and correct direction of effect; their statistics are deliberately excluded from the published arm table.</w:t>
      </w:r>
    </w:p>
    <w:p>
      <w:pPr>
        <w:spacing w:after="200" w:line="264" w:lineRule="auto"/>
      </w:pPr>
      <w:r>
        <w:rPr>
          <w:i/>
          <w:color w:val="595959"/>
          <w:sz w:val="20"/>
          <w:szCs w:val="20"/>
        </w:rPr>
        <w:t xml:space="preserve">Datasets, configurations, the aggregation script and figure-generation code are versioned with the robot stack (commits through the 2026-07-04 campaigns; rev. 4).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Img1" Type="http://schemas.openxmlformats.org/officeDocument/2006/relationships/image" Target="media/f1_tradeoff.png"/><Relationship Id="rIdImg2" Type="http://schemas.openxmlformats.org/officeDocument/2006/relationships/image" Target="media/f2_risk.png"/><Relationship Id="rIdImg3" Type="http://schemas.openxmlformats.org/officeDocument/2006/relationships/image" Target="media/f3_calibration.png"/><Relationship Id="rIdImg4" Type="http://schemas.openxmlformats.org/officeDocument/2006/relationships/image" Target="media/f5_lid.png"/><Relationship Id="rIdImg5" Type="http://schemas.openxmlformats.org/officeDocument/2006/relationships/image" Target="media/f4_layer2.png"/><Relationship Id="rIdImg6" Type="http://schemas.openxmlformats.org/officeDocument/2006/relationships/image" Target="media/f6_rho.png"/></Relationships>
</file>