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240" w:after="80"/>
      </w:pPr>
      <w:r>
        <w:rPr>
          <w:b/>
          <w:sz w:val="32"/>
          <w:color w:val="1F3864"/>
        </w:rPr>
        <w:t xml:space="preserve">G1 Perception Capability Map and Collision Attribution</w:t>
      </w:r>
    </w:p>
    <w:p>
      <w:pPr>
        <w:spacing w:before="0" w:after="110"/>
        <w:jc w:val="both"/>
      </w:pPr>
      <w:r>
        <w:rPr>
          <w:sz w:val="19"/>
          <w:color w:val="555555"/>
          <w:i/>
        </w:rPr>
        <w:t xml:space="preserve">Adrián Lendínez Ibáñez — meta-reasoning payload campaign, University of Bedfordshire. 21 July 2026.</w:t>
      </w:r>
    </w:p>
    <w:p>
      <w:pPr>
        <w:spacing w:before="0" w:after="110"/>
        <w:jc w:val="both"/>
      </w:pPr>
      <w:r>
        <w:rPr>
          <w:sz w:val="21"/>
          <w:b/>
        </w:rPr>
        <w:t xml:space="preserve">Purpose.</w:t>
      </w:r>
      <w:r>
        <w:rPr>
          <w:sz w:val="21"/>
        </w:rPr>
        <w:t xml:space="preserve"> Following the supervisor’s request to make the robot’s perceptual capabilities explicit, this note answers three questions from logged evidence: what the G1 can and cannot see; why it keeps clipping its shoulder/arm on the door frame and on the sofa arm; and whether each cause is hardware or software. Every one of the 10 collisions recorded across the two real-lab sessions (8 and 14 July) is attributed to a mechanism, and each mechanism now has a shipped mitigation.</w:t>
      </w:r>
    </w:p>
    <w:p>
      <w:pPr>
        <w:spacing w:before="180" w:after="80"/>
      </w:pPr>
      <w:r>
        <w:rPr>
          <w:b/>
          <w:sz w:val="26"/>
          <w:color w:val="1F3864"/>
        </w:rPr>
        <w:t xml:space="preserve">1. What the robot can see — and what it structurally cannot</w:t>
      </w:r>
    </w:p>
    <w:tbl>
      <w:tblPr>
        <w:tblStyle w:val="TableGrid"/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Channel</w:t>
            </w:r>
          </w:p>
        </w:tc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What it provides</w:t>
            </w:r>
          </w:p>
        </w:tc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Blind spots</w:t>
            </w:r>
          </w:p>
        </w:tc>
      </w:tr>
      <w:tr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SLAM LiDAR → obstacle map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Occupancy cells (0.2 m) from laser returns in a height band of ≈0.7–1.8 m above the floor; K-of-N persistence filter; high-confidence "hard" subset for the wall guard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Anything BELOW ≈0.7 m: sofa arm (≈0.6 m), seat edges, low cabinets. The band is necessary: gait pitch floods the map with floor hits if lowered. Thin jambs at grazing incidence return too few points for the persistence filter</w:t>
            </w:r>
          </w:p>
        </w:tc>
      </w:tr>
      <w:tr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Camera (floor-colour channel)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Projected obstacle scan + "clamp" columns = tall obstruction dead ahead within ≈0.7 m (central ±30° only). Design rule (RQ, 2 Jul): the LiDAR decides, vision supports — clamps must only moderate speed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No range beyond the clamp floor, no height, forward FOV only. Until this week the moderation half of the rule was never implemented — the channel was logged and ignored</w:t>
            </w:r>
          </w:p>
        </w:tc>
      </w:tr>
      <w:tr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IMU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Contact detection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Fires AFTER the impact — it is the coroner, not the guard</w:t>
            </w:r>
          </w:p>
        </w:tc>
      </w:tr>
      <w:tr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Self-model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DWA plans the body as a circle of r = 0.22 m (0.24 aggressive)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Physical half-width is 0.22 m at the shoulders and ≈0.28–0.30 m with arm swing (supervisor’s own July-2 observation) — the robot plans thinner than it walks</w:t>
            </w:r>
          </w:p>
        </w:tc>
      </w:tr>
    </w:tbl>
    <w:p>
      <w:pPr>
        <w:spacing w:after="60"/>
      </w:pPr>
    </w:p>
    <w:p>
      <w:pPr>
        <w:spacing w:before="180" w:after="80"/>
      </w:pPr>
      <w:r>
        <w:rPr>
          <w:b/>
          <w:sz w:val="26"/>
          <w:color w:val="1F3864"/>
        </w:rPr>
        <w:t xml:space="preserve">2. Forensic attribution of all 10 real collisions</w:t>
      </w:r>
    </w:p>
    <w:p>
      <w:pPr>
        <w:spacing w:before="0" w:after="110"/>
        <w:jc w:val="both"/>
      </w:pPr>
      <w:r>
        <w:rPr>
          <w:sz w:val="21"/>
        </w:rPr>
        <w:t xml:space="preserve">Method: for each IMU collision event, join the recorded obstacle-map neighbourhood (was the obstacle in the map?), the planner’s believed clearance c0/c0_hard in the 3 s before impact, and the camera clamp count. Three mechanisms explain all 10 events with no residue.</w:t>
      </w:r>
    </w:p>
    <w:tbl>
      <w:tblPr>
        <w:tblStyle w:val="TableGrid"/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18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8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tcW w:w="18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Evidence</w:t>
            </w:r>
          </w:p>
        </w:tc>
        <w:tc>
          <w:tcPr>
            <w:tcW w:w="18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Collisions</w:t>
            </w:r>
          </w:p>
        </w:tc>
        <w:tc>
          <w:tcPr>
            <w:tcW w:w="18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Nature</w:t>
            </w:r>
          </w:p>
        </w:tc>
      </w:tr>
      <w:tr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A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Body-model margin: map HAD the jamb, planner advanced at c0 ≈ its own radius (0.20–0.38 m)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All six door-loop hits of run 104520 at (−3.7, 1.2–1.4); two in aggressive phases with the radius shrunk to squeeze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6 / 10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Software (parameter)</w:t>
            </w:r>
          </w:p>
        </w:tc>
      </w:tr>
      <w:tr>
        <w:tc>
          <w:tcPr>
            <w:tcW w:w="1800" w:type="dxa"/>
            <w:shd w:val="clear" w:fill="F2F5FA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1800" w:type="dxa"/>
            <w:shd w:val="clear" w:fill="F2F5FA"/>
          </w:tcPr>
          <w:p>
            <w:r>
              <w:rPr>
                <w:sz w:val="18"/>
              </w:rPr>
              <w:t xml:space="preserve">Below the laser height band: map empty ≥0.87 m around, believed clearance 0.9–2.5, camera clamp columns 30+ the whole approach</w:t>
            </w:r>
          </w:p>
        </w:tc>
        <w:tc>
          <w:tcPr>
            <w:tcW w:w="1800" w:type="dxa"/>
            <w:shd w:val="clear" w:fill="F2F5FA"/>
          </w:tcPr>
          <w:p>
            <w:r>
              <w:rPr>
                <w:sz w:val="18"/>
              </w:rPr>
              <w:t xml:space="preserve">Start-pocket cabinet (1.03, 0.48) and sofa/cabinet (−1.10, 0.42), session 1</w:t>
            </w:r>
          </w:p>
        </w:tc>
        <w:tc>
          <w:tcPr>
            <w:tcW w:w="1800" w:type="dxa"/>
            <w:shd w:val="clear" w:fill="F2F5FA"/>
          </w:tcPr>
          <w:p>
            <w:r>
              <w:rPr>
                <w:sz w:val="18"/>
              </w:rPr>
              <w:t xml:space="preserve">2–3 / 10</w:t>
            </w:r>
          </w:p>
        </w:tc>
        <w:tc>
          <w:tcPr>
            <w:tcW w:w="1800" w:type="dxa"/>
            <w:shd w:val="clear" w:fill="F2F5FA"/>
          </w:tcPr>
          <w:p>
            <w:r>
              <w:rPr>
                <w:sz w:val="18"/>
              </w:rPr>
              <w:t xml:space="preserve">Hardware (sensor geometry); the on-board camera info existed and was unused</w:t>
            </w:r>
          </w:p>
        </w:tc>
      </w:tr>
      <w:tr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C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Jamb dropout: persistent-map clearance flapped 0.7↔2.5 m in the final 3 s (thin jamb, grazing incidence, near-field discard during the crossing itself)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Door-frame hit of run 174051 (fig. 2 left); first hit of 104520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1–2 / 10</w:t>
            </w:r>
          </w:p>
        </w:tc>
        <w:tc>
          <w:tcPr>
            <w:tcW w:w="1800" w:type="dxa"/>
            <w:shd w:val="clear" w:fill="FFFFFF"/>
          </w:tcPr>
          <w:p>
            <w:r>
              <w:rPr>
                <w:sz w:val="18"/>
              </w:rPr>
              <w:t xml:space="preserve">Software (filtering)</w:t>
            </w:r>
          </w:p>
        </w:tc>
      </w:tr>
    </w:tbl>
    <w:p>
      <w:pPr>
        <w:spacing w:after="60"/>
      </w:pPr>
    </w:p>
    <w:p>
      <w:pPr>
        <w:jc w:val="center"/>
        <w:spacing w:after="40"/>
      </w:pPr>
      <w:r>
        <w:drawing>
          <wp:inline distT="0" distB="0" distL="0" distR="0">
            <wp:extent cx="5900000" cy="4090666"/>
            <wp:docPr id="11" name="fig1_collision_ma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_collision_map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0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both"/>
      </w:pPr>
      <w:r>
        <w:rPr>
          <w:sz w:val="17"/>
          <w:color w:val="555555"/>
          <w:i/>
        </w:rPr>
        <w:t xml:space="preserve">Figure 1 — All 10 real collisions on the lab map, coloured by mechanism. Green squares: waypoints A/B; purple diamond: door centre with the two new protection zones (sticky cells 1.4 m, camera-brake suppression 2.0 m).</w:t>
      </w:r>
    </w:p>
    <w:p>
      <w:pPr>
        <w:jc w:val="center"/>
        <w:spacing w:after="40"/>
      </w:pPr>
      <w:r>
        <w:drawing>
          <wp:inline distT="0" distB="0" distL="0" distR="0">
            <wp:extent cx="5900000" cy="2089583"/>
            <wp:docPr id="12" name="fig2_smoking_gun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2_smoking_guns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08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both"/>
      </w:pPr>
      <w:r>
        <w:rPr>
          <w:sz w:val="17"/>
          <w:color w:val="555555"/>
          <w:i/>
        </w:rPr>
        <w:t xml:space="preserve">Figure 2 — The two smoking guns. Left (mechanism C): the persistent map drops and recovers the jamb (c0_hard 0.7↔2.5) seconds before the impact of run 174051. Right (mechanism B): during the sofa approach of run 103218 the camera clamp count climbs to 20–40 ("it is on top of me") while laser clearance stays ≥0.9 m; nothing braked — the moderation half of the vision rule was missing.</w:t>
      </w:r>
    </w:p>
    <w:p>
      <w:pPr>
        <w:jc w:val="center"/>
        <w:spacing w:after="40"/>
      </w:pPr>
      <w:r>
        <w:drawing>
          <wp:inline distT="0" distB="0" distL="0" distR="0">
            <wp:extent cx="5900000" cy="2376388"/>
            <wp:docPr id="13" name="fig3_body_mode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3_body_model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37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both"/>
      </w:pPr>
      <w:r>
        <w:rPr>
          <w:sz w:val="17"/>
          <w:color w:val="555555"/>
          <w:i/>
        </w:rPr>
        <w:t xml:space="preserve">Figure 3 — Mechanism A in one picture: planning radius vs. the true walking envelope. The governed profiles close the gap (0.28–0.30 m) exactly at the supervisor’s measured number.</w:t>
      </w:r>
    </w:p>
    <w:p>
      <w:pPr>
        <w:spacing w:before="180" w:after="80"/>
      </w:pPr>
      <w:r>
        <w:rPr>
          <w:b/>
          <w:sz w:val="26"/>
          <w:color w:val="1F3864"/>
        </w:rPr>
        <w:t xml:space="preserve">3. Answers to the direct questions</w:t>
      </w:r>
    </w:p>
    <w:p>
      <w:pPr>
        <w:spacing w:before="0" w:after="60"/>
        <w:jc w:val="both"/>
      </w:pPr>
      <w:r>
        <w:rPr>
          <w:sz w:val="21"/>
        </w:rPr>
        <w:t xml:space="preserve">•  </w:t>
      </w:r>
      <w:r>
        <w:rPr>
          <w:sz w:val="21"/>
          <w:b/>
        </w:rPr>
        <w:t xml:space="preserve">Is it hardware or software?</w:t>
      </w:r>
      <w:r>
        <w:rPr>
          <w:sz w:val="21"/>
        </w:rPr>
        <w:t xml:space="preserve"> Both, cleanly separated: the sofa arm is a hardware sensing limit (below the laser band — the laser never sees it); the door frame is software twice over (body model thinner than the walking envelope, and the persistence filter dropping a thin jamb seen edge-on).</w:t>
      </w:r>
    </w:p>
    <w:p>
      <w:pPr>
        <w:spacing w:before="0" w:after="60"/>
        <w:jc w:val="both"/>
      </w:pPr>
      <w:r>
        <w:rPr>
          <w:sz w:val="21"/>
        </w:rPr>
        <w:t xml:space="preserve">•  </w:t>
      </w:r>
      <w:r>
        <w:rPr>
          <w:sz w:val="21"/>
          <w:b/>
        </w:rPr>
        <w:t xml:space="preserve">Is it our laser filtering?</w:t>
      </w:r>
      <w:r>
        <w:rPr>
          <w:sz w:val="21"/>
        </w:rPr>
        <w:t xml:space="preserve"> For the sofa — no: filtering never had the points to reject. For the jamb — partly yes: the K-of-N persistence gate plus the near-field discard made a real, static obstacle flicker in the hard map during the crossing (fig. 2, left).</w:t>
      </w:r>
    </w:p>
    <w:p>
      <w:pPr>
        <w:spacing w:before="0" w:after="60"/>
        <w:jc w:val="both"/>
      </w:pPr>
      <w:r>
        <w:rPr>
          <w:sz w:val="21"/>
        </w:rPr>
        <w:t xml:space="preserve">•  </w:t>
      </w:r>
      <w:r>
        <w:rPr>
          <w:sz w:val="21"/>
          <w:b/>
        </w:rPr>
        <w:t xml:space="preserve">Did the robot have enough information to avoid the hits?</w:t>
      </w:r>
      <w:r>
        <w:rPr>
          <w:sz w:val="21"/>
        </w:rPr>
        <w:t xml:space="preserve"> In 9 of 10, yes, somewhere on board: 6× the map knew (A), 3× the camera knew (B). Only the very first jamb touch of 104520 approached with every channel believing clear. The gap was never raw sensing — it was calibration of the self-model and unused cross-channel evidence.</w:t>
      </w:r>
    </w:p>
    <w:p>
      <w:pPr>
        <w:spacing w:before="180" w:after="80"/>
      </w:pPr>
      <w:r>
        <w:rPr>
          <w:b/>
          <w:sz w:val="26"/>
          <w:color w:val="1F3864"/>
        </w:rPr>
        <w:t xml:space="preserve">4. Mitigations shipped (merged to main, each reversible by env switch)</w:t>
      </w:r>
    </w:p>
    <w:tbl>
      <w:tblPr>
        <w:tblStyle w:val="TableGrid"/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Fix</w:t>
            </w:r>
          </w:p>
        </w:tc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  <w:sz w:val="18"/>
              </w:rPr>
              <w:t xml:space="preserve">Status / evidence</w:t>
            </w:r>
          </w:p>
        </w:tc>
      </w:tr>
      <w:tr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A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Governed multi-parameter profiles: robot_r 0.28–0.30 by analogy + environment layer; retires the heuristic radius shrink; door-approach analogy library with lateral bias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Validated in the digital twin A/B (32 runs): 8/8 clean crossings, 0 collisions with all extensions on; formal Fisher p=0.020 vs control</w:t>
            </w:r>
          </w:p>
        </w:tc>
      </w:tr>
      <w:tr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COLOR-BRAKE (G1_COLORBRAKE): the missing moderation half of the July-2 rule. Camera-only (fires only when laser says open), suppressed within 2 m of the door (ghost-wall lesson), creep 0.10 m/s on sustained warning, full stop only when the camera is saturated (≥24 columns)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Replayed over all 60 real runs: acts BEFORE both furniture collisions, zero false stops, cost 1–6 s of creep alongside the sofa in clean runs</w:t>
            </w:r>
          </w:p>
        </w:tc>
      </w:tr>
      <w:tr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C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DOORSTICKY (G1_DOORSTICKY): a door-zone cell confirmed in ≥2 fresh scans stays fixed for the rest of the run and bypasses the near-field discard — the frame is static by definition</w:t>
            </w:r>
          </w:p>
        </w:tc>
        <w:tc>
          <w:tcPr>
            <w:tcW w:w="3000" w:type="dxa"/>
            <w:shd w:val="clear" w:fill="FFFFFF"/>
          </w:tcPr>
          <w:p>
            <w:r>
              <w:rPr>
                <w:sz w:val="18"/>
              </w:rPr>
              <w:t xml:space="preserve">v3, hardened by the twin itself: v1 could freeze live noise (a smoke run accumulated 6 phantom cells in the door mouth → 9-collision loop); v3 only lets cells already present in the static map stick — it cannot invent obstacles. Validated: 4/4 clean twin crossings, 94–95 s, 0 collisions</w:t>
            </w:r>
          </w:p>
        </w:tc>
      </w:tr>
      <w:tr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(context)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G1_M2_REALCAL: fragility thresholds and DST attribution recalibrated from the twin’s spill statistics (0.5/run) to the real platform’s (≈12/run)</w:t>
            </w:r>
          </w:p>
        </w:tc>
        <w:tc>
          <w:tcPr>
            <w:tcW w:w="3000" w:type="dxa"/>
            <w:shd w:val="clear" w:fill="F2F5FA"/>
          </w:tcPr>
          <w:p>
            <w:r>
              <w:rPr>
                <w:sz w:val="18"/>
              </w:rPr>
              <w:t xml:space="preserve">First governed completions of the campaign (4 runs reached, 0 collisions, 59 g/round-trip vs 130–169 g baseline)</w:t>
            </w:r>
          </w:p>
        </w:tc>
      </w:tr>
    </w:tbl>
    <w:p>
      <w:pPr>
        <w:spacing w:after="60"/>
      </w:pPr>
    </w:p>
    <w:p>
      <w:pPr>
        <w:spacing w:before="0" w:after="110"/>
        <w:jc w:val="both"/>
      </w:pPr>
      <w:r>
        <w:rPr>
          <w:sz w:val="21"/>
          <w:b/>
        </w:rPr>
        <w:t xml:space="preserve">Still open (needs a lab session, no code):</w:t>
      </w:r>
      <w:r>
        <w:rPr>
          <w:sz w:val="21"/>
        </w:rPr>
        <w:t xml:space="preserve"> survey the sofa and low cabinet into the static furniture layer (nav_map.json) so the planner routes around them proactively — the camera brake is the safety net, not the planner. Procedure: slow manual waypoint sweep facing each item; the accumulation tooling already exists.</w:t>
      </w:r>
    </w:p>
    <w:p>
      <w:pPr>
        <w:spacing w:before="180" w:after="80"/>
      </w:pPr>
      <w:r>
        <w:rPr>
          <w:b/>
          <w:sz w:val="26"/>
          <w:color w:val="1F3864"/>
        </w:rPr>
        <w:t xml:space="preserve">5. Why this matters beyond the fixes</w:t>
      </w:r>
    </w:p>
    <w:p>
      <w:pPr>
        <w:spacing w:before="0" w:after="110"/>
        <w:jc w:val="both"/>
      </w:pPr>
      <w:r>
        <w:rPr>
          <w:sz w:val="21"/>
        </w:rPr>
        <w:t xml:space="preserve">The meta-reasoner arbitrates policies from evidence, but a policy is only as safe as the capability model underneath it: the campaign showed the same lesson twice in one week — the task model carried the simulator’s physics (fragility thresholds), and the self-model carried the wrong body width. Making capability boundaries explicit (this note) is what lets Layer 3 judge WHERE an analogy is relevant and lets the deployment veto stay monotone in risk. The next governed session runs with the full stack: profiles + door library + graded spill-speed coupling + platform calibration + camera brake + sticky frame.</w:t>
      </w:r>
    </w:p>
    <w:sectPr>
      <w:pgSz w:w="11906" w:h="16838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Relationship Id="rIdImg10" Type="http://schemas.openxmlformats.org/officeDocument/2006/relationships/image" Target="media/fig1_collision_map.png"/><Relationship Id="rIdImg11" Type="http://schemas.openxmlformats.org/officeDocument/2006/relationships/image" Target="media/fig2_smoking_guns.png"/><Relationship Id="rIdImg12" Type="http://schemas.openxmlformats.org/officeDocument/2006/relationships/image" Target="media/fig3_body_model.png"/></Relationships>
</file>