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 w:line="276" w:lineRule="auto"/>
      </w:pPr>
      <w:r>
        <w:rPr>
          <w:b/>
          <w:color w:val="1F3864"/>
          <w:sz w:val="40"/>
          <w:szCs w:val="40"/>
        </w:rPr>
        <w:t xml:space="preserve">Empirical Validation on a Humanoid Digital Twin</w:t>
      </w:r>
    </w:p>
    <w:p>
      <w:pPr>
        <w:spacing w:after="40" w:line="276" w:lineRule="auto"/>
      </w:pPr>
      <w:r>
        <w:rPr>
          <w:i/>
          <w:color w:val="595959"/>
          <w:sz w:val="22"/>
          <w:szCs w:val="22"/>
        </w:rPr>
        <w:t xml:space="preserve">Draft subsection VII.H — Decentralised Capability Abstraction paper (V6.1)</w:t>
      </w:r>
    </w:p>
    <w:p>
      <w:pPr>
        <w:spacing w:after="280" w:line="276" w:lineRule="auto"/>
      </w:pPr>
      <w:r>
        <w:rPr>
          <w:i/>
          <w:color w:val="595959"/>
          <w:sz w:val="20"/>
          <w:szCs w:val="20"/>
        </w:rPr>
        <w:t xml:space="preserve">G1 simulation campaign 2026-07-04 · 83 runs, 11 arms · pending review (Adrián / Renxi) — not yet inserted in the manuscript</w:t>
      </w:r>
    </w:p>
    <w:p>
      <w:pPr>
        <w:spacing w:after="160" w:line="276" w:lineRule="auto"/>
      </w:pPr>
      <w:r>
        <w:t xml:space="preserve">The analytical validation above is complemented by an empirical campaign on a digital twin of the physical deployment: a Unitree G1 humanoid navigating a door-crossing delivery task (A↔B, ≈13 m, a 0.8 m doorway and a 0.71 m corridor pinch) in a Gazebo replica of the real laboratory, generated from the robot's own SLAM maps. The full production navigation stack (static-map global planner, local DWA, door-engagement controller) runs unmodified; the DCE runtime (Meta-Reasoner 2.0) governs it through the shared-experience bridge at 2 Hz, exactly as deployed on the physical robot.</w:t>
      </w:r>
    </w:p>
    <w:p>
      <w:pPr>
        <w:spacing w:after="160" w:line="276" w:lineRule="auto"/>
      </w:pPr>
      <w:r>
        <w:t xml:space="preserve">The governance task is the payload condition of the delivery scenario: the robot carries an open cup of water. Spilling is modelled physically — first-mode liquid sloshing in a cylindrical cup (natural frequency ω₀ ≈ 21 rad/s for R = 4 cm), driven by the cup's horizontal acceleration including arm-offset and gait-bounce terms, with spills generated as a non-homogeneous Poisson process on surface elevation against freeboard. Consistently with the simulation study that motivated this design, jerk — not speed alone — dominates spill risk. A sealed lid multiplies the hazard rate by 0.25.</w:t>
      </w:r>
    </w:p>
    <w:p>
      <w:pPr>
        <w:spacing w:after="160" w:line="276" w:lineRule="auto"/>
      </w:pPr>
      <w:r>
        <w:t xml:space="preserve">Governance arms (N = 8 runs each; lid arms N = 6; mean ± 95% CI) instantiate the architectural comparisons of Sections IV–VII:</w:t>
      </w:r>
    </w:p>
    <w:tbl>
      <w:tblPr>
        <w:tblW w:w="9026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3000"/>
        <w:gridCol w:w="1050"/>
        <w:gridCol w:w="1700"/>
        <w:gridCol w:w="1650"/>
        <w:gridCol w:w="1626"/>
      </w:tblGrid>
      <w:tr>
        <w:tc>
          <w:tcPr>
            <w:tcW w:w="3000" w:type="dxa"/>
            <w:shd w:val="clear" w:color="auto" w:fill="1F3864"/>
            <w:vAlign w:val="center"/>
          </w:tcPr>
          <w:p>
            <w:pPr>
              <w:spacing w:after="40"/>
            </w:pPr>
            <w:r>
              <w:rPr>
                <w:b/>
                <w:color w:val="FFFFFF"/>
                <w:sz w:val="18"/>
                <w:szCs w:val="18"/>
              </w:rPr>
              <w:t xml:space="preserve">Arm / governance</w:t>
            </w:r>
          </w:p>
        </w:tc>
        <w:tc>
          <w:tcPr>
            <w:tcW w:w="1050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Reached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Time (s)</w:t>
            </w:r>
          </w:p>
        </w:tc>
        <w:tc>
          <w:tcPr>
            <w:tcW w:w="1650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Spills/run</w:t>
            </w:r>
          </w:p>
        </w:tc>
        <w:tc>
          <w:tcPr>
            <w:tcW w:w="1626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Risk (% time)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M0 baseline — none (0.30 m/s)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83.4 ± 5.2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0.50 ± 0.37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8.1 ± 1.4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M1 fixed-conservative — none (0.18 m/s cap)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110.8 ± 2.4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0.8 ± 0.2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Single-candidate governed (DCE, one analogy)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5/8 (3 HELP)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106.2 ± 5.1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0.12 ± 0.24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0.5 ± 0.2</w:t>
            </w:r>
          </w:p>
        </w:tc>
      </w:tr>
      <w:tr>
        <w:tc>
          <w:tcPr>
            <w:tcW w:w="3000" w:type="dxa"/>
            <w:shd w:val="clear" w:color="auto" w:fill="D9E2F1"/>
            <w:vAlign w:val="center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 xml:space="preserve">M2 payload (proposed) — DCE, payload task</w:t>
            </w:r>
          </w:p>
        </w:tc>
        <w:tc>
          <w:tcPr>
            <w:tcW w:w="1050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107.9 ± 4.2</w:t>
            </w:r>
          </w:p>
        </w:tc>
        <w:tc>
          <w:tcPr>
            <w:tcW w:w="1650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626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0.4 ± 0.2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M2 + task-blind prior (miscalibrated task)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108.2 ± 3.5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0.7 ± 0.2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M0, sealed lid — none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6/6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88.1 ± 4.9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0.17 ± 0.33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10.6 ± 2.9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M2, sealed lid (twin-calibrated, covered-delivery)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5/6 (1 HELP)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102.5 ± 2.2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0.17 ± 0.33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0.7 ± 0.5</w:t>
            </w:r>
          </w:p>
        </w:tc>
      </w:tr>
    </w:tbl>
    <w:p>
      <w:pPr>
        <w:spacing w:after="280" w:line="276" w:lineRule="auto"/>
      </w:pPr>
      <w:r>
        <w:rPr>
          <w:i/>
          <w:color w:val="595959"/>
          <w:sz w:val="18"/>
          <w:szCs w:val="18"/>
        </w:rPr>
        <w:t xml:space="preserve">Table H-1. Digital-twin payload campaign. "Risk" is the fraction of run time with the liquid surface above 70% of freeboard. HELP = governed abort (sustained empty deployable set).</w:t>
      </w:r>
    </w:p>
    <w:p>
      <w:pPr>
        <w:spacing w:after="120" w:line="276" w:lineRule="auto"/>
      </w:pPr>
      <w:r>
        <w:rPr>
          <w:b/>
          <w:color w:val="1F3864"/>
          <w:sz w:val="28"/>
          <w:szCs w:val="28"/>
        </w:rPr>
        <w:t xml:space="preserve">Findings</w:t>
      </w:r>
    </w:p>
    <w:p>
      <w:pPr>
        <w:spacing w:after="160" w:line="276" w:lineRule="auto"/>
      </w:pPr>
      <w:r>
        <w:rPr>
          <w:b/>
        </w:rPr>
        <w:t xml:space="preserve">(1) Deployability governance converts spills into bounded time cost.</w:t>
      </w:r>
      <w:r>
        <w:t xml:space="preserve"> The ungoverned baseline reaches the goal fastest but spills on half of its runs, spending 8.1% of each run with the liquid surface above 70% of freeboard. Active DCE governance under the payload task eliminates spills entirely (0/8 runs; risk 0.4%) at a 29% time cost, while preserving 8/8 task completion. The fixed-conservative baseline achieves the same safety by construction, but rigidly: it cannot re-certify a faster capability when conditions permit (finding 4).</w:t>
      </w:r>
    </w:p>
    <w:p>
      <w:pPr>
        <w:spacing w:after="160" w:line="276" w:lineRule="auto"/>
      </w:pPr>
      <w:r>
        <w:rPr>
          <w:b/>
        </w:rPr>
        <w:t xml:space="preserve">(2) HELP is the correct outcome of an empty deployable set.</w:t>
      </w:r>
      <w:r>
        <w:t xml:space="preserve"> When the candidate set is reduced to a single analogy and a hard-veto meta-parameter (mobility, the resistance channel) enters its dangerous region while the robot presses the corridor pinch, no deployable candidate remains; the runtime returns sustained HELP and the experience-escalation layer aborts the run (3/8 runs). This is not a failure of the mechanism but its specified semantics: capability-validity governance must refuse to certify rather than silently persist (conservative non-selection).</w:t>
      </w:r>
    </w:p>
    <w:p>
      <w:pPr>
        <w:spacing w:after="160" w:line="276" w:lineRule="auto"/>
      </w:pPr>
      <w:r>
        <w:rPr>
          <w:b/>
        </w:rPr>
        <w:t xml:space="preserve">(3) The calibration-limited regime is observable in deployment.</w:t>
      </w:r>
      <w:r>
        <w:t xml:space="preserve"> Running the physical laboratory's QoE calibration unchanged on the digital twin — whose clearance distribution is systematically narrower (cruise median 0.76 vs ≈1.0) — left the efficient capability non-certifiable for entire runs: an instance of the θ_QoE calibration-error budget of Table IV arising live rather than analytically. Re-calibrating the QoE boundaries from measured twin distributions (per the interface-refinement pattern) restored certification in open stretches without touching the reasoner or the physical-robot configuration.</w:t>
      </w:r>
    </w:p>
    <w:p>
      <w:pPr>
        <w:spacing w:after="160" w:line="276" w:lineRule="auto"/>
      </w:pPr>
      <w:r>
        <w:rPr>
          <w:b/>
        </w:rPr>
        <w:t xml:space="preserve">(4) Task-conditioned analogy selection exploits payload changes.</w:t>
      </w:r>
      <w:r>
        <w:t xml:space="preserve"> With a sealed lid, the ungoverned baseline improves only passively (spills 0.50 → 0.17/run through physics; its risk exposure is unchanged at 10.6%). The governed system, given the covered-delivery task configuration on the calibrated twin, actively exploits the change: 102.5 ± 2.2 s versus 111.5 ± 7.3 s for the same governance under the open-cup configuration — a policy-level gain unavailable to fixed baselines, consistent with the lid-state delta of the 2-D study.</w:t>
      </w:r>
    </w:p>
    <w:p>
      <w:pPr>
        <w:spacing w:after="160" w:line="276" w:lineRule="auto"/>
      </w:pPr>
      <w:r>
        <w:rPr>
          <w:b/>
        </w:rPr>
        <w:t xml:space="preserve">(5) Temporal scales of correction separate as designed.</w:t>
      </w:r>
      <w:r>
        <w:t xml:space="preserve"> A task-blind (wrong) prior is corrected within runs in ≈4 s: per-tick shared-experience evidence (clearance) strips the miscalibrated capability's certification before its first failure, so the cross-run analogical-trust layer receives no failure signal to learn from on the twin. The cross-run layer — per-analogy Dempster–Shafer belief over {match, mismatch}, persisted between runs, with plausibility-gated deployment and a conservative policy blend — is validated mechanistically (plausibility trace 1.00 → 0.75 → 0.53 → 0.36 over three spill runs, with corrected zero-shot start on the fourth). Its operational regime is the physical laboratory, where cruise clearance certifies the fast capability and gait-induced spills are invisible to per-tick channels: exactly the failure mode the run-level trust layer exists to catch. The physical-robot campaign (H.1) exercises it.</w:t>
      </w:r>
    </w:p>
    <w:p>
      <w:pPr>
        <w:spacing w:after="120" w:line="276" w:lineRule="auto"/>
      </w:pPr>
      <w:r>
        <w:rPr>
          <w:b/>
          <w:color w:val="1F3864"/>
          <w:sz w:val="28"/>
          <w:szCs w:val="28"/>
        </w:rPr>
        <w:t xml:space="preserve">H.1  Physical-robot protocol (in progress)</w:t>
      </w:r>
    </w:p>
    <w:p>
      <w:pPr>
        <w:spacing w:after="160" w:line="276" w:lineRule="auto"/>
      </w:pPr>
      <w:r>
        <w:t xml:space="preserve">Twenty runs on the physical G1 in the mapped laboratory, water-cup payload, four conditions (baseline / governed × open / sealed lid), spill ground truth marked manually per event (UDP channel, timestamped into the per-tick dataset), Layer-2 belief state persisted across runs (G1_M2_STATE). Metrics identical to the twin campaign; runs tagged env=real in the shared results table.</w:t>
      </w:r>
    </w:p>
    <w:p>
      <w:pPr>
        <w:spacing w:after="120"/>
      </w:pPr>
      <w:r>
        <w:br w:type="page"/>
      </w:r>
    </w:p>
    <w:p>
      <w:pPr>
        <w:spacing w:after="120" w:line="276" w:lineRule="auto"/>
      </w:pPr>
      <w:r>
        <w:rPr>
          <w:b/>
          <w:color w:val="C00000"/>
          <w:sz w:val="28"/>
          <w:szCs w:val="28"/>
        </w:rPr>
        <w:t xml:space="preserve">Anexo — Notas internas (no van al paper)</w:t>
      </w:r>
    </w:p>
    <w:p>
      <w:pPr>
        <w:spacing w:after="120" w:line="276" w:lineRule="auto"/>
      </w:pPr>
      <w:r>
        <w:t xml:space="preserve">Los brazos wrong/wrongdst/wrongdstsim con 0 derrames NO son fallo del experimento: son el hallazgo (5). Si Renxi quiere la curva de recuperación cross-run EN SIM, la forma fiel a la tesis (Cap. 5, 5.3.6.3) es forzar la analogía (lock) durante las primeras K runs — se puede añadir (G1_M2_LOCK), pero lo natural es capturarla en el robot real, donde el crucero certifica a Efficient de verdad.</w:t>
      </w:r>
    </w:p>
    <w:p>
      <w:pPr>
        <w:spacing w:after="120" w:line="276" w:lineRule="auto"/>
      </w:pPr>
      <w:r>
        <w:t xml:space="preserve">La tabla omite brazos redundantes (wrongsim/wrongdst*); están en analyze_campaign.py y en runs_summary.csv (filtrar env=sim, sim_id lab_v1_payload_*).</w:t>
      </w:r>
    </w:p>
    <w:p>
      <w:pPr>
        <w:spacing w:after="120" w:line="276" w:lineRule="auto"/>
      </w:pPr>
      <w:r>
        <w:t xml:space="preserve">Contraste con la sim 2-D de la tesis (warehouse-cluttered): M0 SE=13.0 / 2.12 spills·run; M2 SE=37.6 / 0.28. El gemelo 3-D reproduce el mismo orden M0 &lt; M1 ≈ M2 en seguridad con la física de sloshing real.</w:t>
      </w:r>
    </w:p>
    <w:p>
      <w:pPr>
        <w:spacing w:after="120" w:line="276" w:lineRule="auto"/>
      </w:pPr>
      <w:r>
        <w:t xml:space="preserve">Reproducción: python3 sim_campaign.py (brazos por CAMPAIGN_ARMS) · python3 analyze_campaign.py · commits hasta 0b6ea24 en main.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