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60" w:line="264" w:lineRule="auto"/>
      </w:pPr>
      <w:r>
        <w:rPr>
          <w:b/>
          <w:color w:val="1F3864"/>
          <w:sz w:val="38"/>
          <w:szCs w:val="38"/>
        </w:rPr>
        <w:t xml:space="preserve">G1 Physical Campaign — Interim Report (Session 1)</w:t>
      </w:r>
    </w:p>
    <w:p>
      <w:pPr>
        <w:spacing w:after="240" w:line="264" w:lineRule="auto"/>
      </w:pPr>
      <w:r>
        <w:rPr>
          <w:i/>
          <w:color w:val="595959"/>
          <w:sz w:val="21"/>
          <w:szCs w:val="21"/>
        </w:rPr>
        <w:t xml:space="preserve">2026-07-08, real laboratory · 8 runs (6 baseline + 2 governed) · session paused ~11:10, to be resumed</w:t>
      </w:r>
    </w:p>
    <w:p>
      <w:pPr>
        <w:spacing w:after="80" w:line="264" w:lineRule="auto"/>
      </w:pPr>
      <w:r>
        <w:rPr>
          <w:b/>
          <w:color w:val="1F3864"/>
          <w:sz w:val="30"/>
          <w:szCs w:val="30"/>
        </w:rPr>
        <w:t xml:space="preserve">1.  Executive summary</w:t>
      </w:r>
    </w:p>
    <w:p>
      <w:pPr>
        <w:spacing w:after="150" w:line="264" w:lineRule="auto"/>
      </w:pPr>
      <w:r>
        <w:t xml:space="preserve">The first hardware session produced the two most important single data points of the entire evaluation. (i) The </w:t>
      </w:r>
      <w:r>
        <w:rPr>
          <w:b/>
        </w:rPr>
        <w:t xml:space="preserve">ungoverned baseline reproduced the historical failure mode</w:t>
      </w:r>
      <w:r>
        <w:t xml:space="preserve">: run 6 wedged into a door-frame collision loop for 513 s (7 collisions, 50 m of thrashing) until manually killed. (ii) The </w:t>
      </w:r>
      <w:r>
        <w:rPr>
          <w:b/>
        </w:rPr>
        <w:t xml:space="preserve">governed system demonstrated the full HELP chain on hardware</w:t>
      </w:r>
      <w:r>
        <w:t xml:space="preserve">: with a brimful cup, real human spill marks drove the fragility meta-parameter into its dangerous region, the hard veto emptied the deployable set, sustained HELP triggered the experience-escalation layer, and the robot stopped itself in 23 s — a governed, bounded, self-diagnosed stop versus an 8.5-minute human-supervised failure. This is the paper's conservative non-selection semantics with physical ground truth. The practical consequence — a brimful cup (1 cm freeboard) cannot survive the start-manoeuvre turns under any speed governance — is itself a finding (turn rate is not yet part of the analogy profile) and sets the protocol for session 2 (200 g fill for completed governed runs).</w:t>
      </w:r>
    </w:p>
    <w:p>
      <w:pPr>
        <w:spacing w:after="80" w:line="264" w:lineRule="auto"/>
      </w:pPr>
      <w:r>
        <w:rPr>
          <w:b/>
          <w:color w:val="1F3864"/>
          <w:sz w:val="30"/>
          <w:szCs w:val="30"/>
        </w:rPr>
        <w:t xml:space="preserve">2.  Runs completed</w:t>
      </w:r>
    </w:p>
    <w:tbl>
      <w:tblPr>
        <w:tblW w:w="10000" w:type="dxa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900"/>
        <w:gridCol w:w="1900"/>
        <w:gridCol w:w="1900"/>
        <w:gridCol w:w="950"/>
        <w:gridCol w:w="1300"/>
        <w:gridCol w:w="1500"/>
        <w:gridCol w:w="1550"/>
      </w:tblGrid>
      <w:tr>
        <w:tc>
          <w:tcPr>
            <w:tcW w:w="900" w:type="dxa"/>
            <w:shd w:val="clear" w:color="auto" w:fill="1F3864"/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5"/>
                <w:szCs w:val="15"/>
              </w:rPr>
              <w:t xml:space="preserve">Run</w:t>
            </w:r>
          </w:p>
        </w:tc>
        <w:tc>
          <w:tcPr>
            <w:tcW w:w="1900" w:type="dxa"/>
            <w:shd w:val="clear" w:color="auto" w:fill="1F3864"/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5"/>
                <w:szCs w:val="15"/>
              </w:rPr>
              <w:t xml:space="preserve">Arm / leg</w:t>
            </w:r>
          </w:p>
        </w:tc>
        <w:tc>
          <w:tcPr>
            <w:tcW w:w="1900" w:type="dxa"/>
            <w:shd w:val="clear" w:color="auto" w:fill="1F3864"/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5"/>
                <w:szCs w:val="15"/>
              </w:rPr>
              <w:t xml:space="preserve">Result</w:t>
            </w:r>
          </w:p>
        </w:tc>
        <w:tc>
          <w:tcPr>
            <w:tcW w:w="950" w:type="dxa"/>
            <w:shd w:val="clear" w:color="auto" w:fill="1F3864"/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5"/>
                <w:szCs w:val="15"/>
              </w:rPr>
              <w:t xml:space="preserve">Time (s)</w:t>
            </w:r>
          </w:p>
        </w:tc>
        <w:tc>
          <w:tcPr>
            <w:tcW w:w="1300" w:type="dxa"/>
            <w:shd w:val="clear" w:color="auto" w:fill="1F3864"/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5"/>
                <w:szCs w:val="15"/>
              </w:rPr>
              <w:t xml:space="preserve">Spill marks</w:t>
            </w:r>
          </w:p>
        </w:tc>
        <w:tc>
          <w:tcPr>
            <w:tcW w:w="1500" w:type="dxa"/>
            <w:shd w:val="clear" w:color="auto" w:fill="1F3864"/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5"/>
                <w:szCs w:val="15"/>
              </w:rPr>
              <w:t xml:space="preserve">Collisions</w:t>
            </w:r>
          </w:p>
        </w:tc>
        <w:tc>
          <w:tcPr>
            <w:tcW w:w="1550" w:type="dxa"/>
            <w:shd w:val="clear" w:color="auto" w:fill="1F3864"/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5"/>
                <w:szCs w:val="15"/>
              </w:rPr>
              <w:t xml:space="preserve">Water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102149</w:t>
            </w:r>
          </w:p>
        </w:tc>
        <w:tc>
          <w:tcPr>
            <w:tcW w:w="19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R1 baseline A→B</w:t>
            </w:r>
          </w:p>
        </w:tc>
        <w:tc>
          <w:tcPr>
            <w:tcW w:w="19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reached</w:t>
            </w:r>
          </w:p>
        </w:tc>
        <w:tc>
          <w:tcPr>
            <w:tcW w:w="95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74.6</w:t>
            </w:r>
          </w:p>
        </w:tc>
        <w:tc>
          <w:tcPr>
            <w:tcW w:w="13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14</w:t>
            </w:r>
          </w:p>
        </w:tc>
        <w:tc>
          <w:tcPr>
            <w:tcW w:w="15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55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246 g fill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102421</w:t>
            </w:r>
          </w:p>
        </w:tc>
        <w:tc>
          <w:tcPr>
            <w:tcW w:w="19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R1 baseline B→A</w:t>
            </w:r>
          </w:p>
        </w:tc>
        <w:tc>
          <w:tcPr>
            <w:tcW w:w="19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reached</w:t>
            </w:r>
          </w:p>
        </w:tc>
        <w:tc>
          <w:tcPr>
            <w:tcW w:w="95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48.4</w:t>
            </w:r>
          </w:p>
        </w:tc>
        <w:tc>
          <w:tcPr>
            <w:tcW w:w="13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15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55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→ 116 g (RT: 130 g)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103218</w:t>
            </w:r>
          </w:p>
        </w:tc>
        <w:tc>
          <w:tcPr>
            <w:tcW w:w="19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R1 baseline A→B</w:t>
            </w:r>
          </w:p>
        </w:tc>
        <w:tc>
          <w:tcPr>
            <w:tcW w:w="19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reached</w:t>
            </w:r>
          </w:p>
        </w:tc>
        <w:tc>
          <w:tcPr>
            <w:tcW w:w="95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99.7</w:t>
            </w:r>
          </w:p>
        </w:tc>
        <w:tc>
          <w:tcPr>
            <w:tcW w:w="13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15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2 (IMU grazes)</w:t>
            </w:r>
          </w:p>
        </w:tc>
        <w:tc>
          <w:tcPr>
            <w:tcW w:w="155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246 g fill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103558</w:t>
            </w:r>
          </w:p>
        </w:tc>
        <w:tc>
          <w:tcPr>
            <w:tcW w:w="19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R1 baseline B→A</w:t>
            </w:r>
          </w:p>
        </w:tc>
        <w:tc>
          <w:tcPr>
            <w:tcW w:w="19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reached</w:t>
            </w:r>
          </w:p>
        </w:tc>
        <w:tc>
          <w:tcPr>
            <w:tcW w:w="95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124.3</w:t>
            </w:r>
          </w:p>
        </w:tc>
        <w:tc>
          <w:tcPr>
            <w:tcW w:w="13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15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55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→ 96 g (RT: 150 g)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104244</w:t>
            </w:r>
          </w:p>
        </w:tc>
        <w:tc>
          <w:tcPr>
            <w:tcW w:w="19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R1 baseline A→B</w:t>
            </w:r>
          </w:p>
        </w:tc>
        <w:tc>
          <w:tcPr>
            <w:tcW w:w="19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reached</w:t>
            </w:r>
          </w:p>
        </w:tc>
        <w:tc>
          <w:tcPr>
            <w:tcW w:w="95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106.0</w:t>
            </w:r>
          </w:p>
        </w:tc>
        <w:tc>
          <w:tcPr>
            <w:tcW w:w="13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15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55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246 g fill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104520</w:t>
            </w:r>
          </w:p>
        </w:tc>
        <w:tc>
          <w:tcPr>
            <w:tcW w:w="19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R1 baseline B→A</w:t>
            </w:r>
          </w:p>
        </w:tc>
        <w:tc>
          <w:tcPr>
            <w:tcW w:w="19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MANUAL ABORT</w:t>
            </w:r>
          </w:p>
        </w:tc>
        <w:tc>
          <w:tcPr>
            <w:tcW w:w="95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513</w:t>
            </w:r>
          </w:p>
        </w:tc>
        <w:tc>
          <w:tcPr>
            <w:tcW w:w="13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15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7 (door frame)</w:t>
            </w:r>
          </w:p>
        </w:tc>
        <w:tc>
          <w:tcPr>
            <w:tcW w:w="155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→ 77 g (RT: 169 g)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110018</w:t>
            </w:r>
          </w:p>
        </w:tc>
        <w:tc>
          <w:tcPr>
            <w:tcW w:w="19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R2 governed A→B</w:t>
            </w:r>
          </w:p>
        </w:tc>
        <w:tc>
          <w:tcPr>
            <w:tcW w:w="19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HELP abort (governed)</w:t>
            </w:r>
          </w:p>
        </w:tc>
        <w:tc>
          <w:tcPr>
            <w:tcW w:w="95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23.0</w:t>
            </w:r>
          </w:p>
        </w:tc>
        <w:tc>
          <w:tcPr>
            <w:tcW w:w="13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4 (t=10-14 s)</w:t>
            </w:r>
          </w:p>
        </w:tc>
        <w:tc>
          <w:tcPr>
            <w:tcW w:w="15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55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246→162 g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110554</w:t>
            </w:r>
          </w:p>
        </w:tc>
        <w:tc>
          <w:tcPr>
            <w:tcW w:w="19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R2 governed A→B</w:t>
            </w:r>
          </w:p>
        </w:tc>
        <w:tc>
          <w:tcPr>
            <w:tcW w:w="19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HELP abort (governed)</w:t>
            </w:r>
          </w:p>
        </w:tc>
        <w:tc>
          <w:tcPr>
            <w:tcW w:w="95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14.6</w:t>
            </w:r>
          </w:p>
        </w:tc>
        <w:tc>
          <w:tcPr>
            <w:tcW w:w="13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4 (t=3.5-6.7 s)</w:t>
            </w:r>
          </w:p>
        </w:tc>
        <w:tc>
          <w:tcPr>
            <w:tcW w:w="15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55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246→209 g</w:t>
            </w:r>
          </w:p>
        </w:tc>
      </w:tr>
    </w:tbl>
    <w:p>
      <w:pPr>
        <w:spacing w:after="200" w:line="264" w:lineRule="auto"/>
      </w:pPr>
      <w:r>
        <w:t xml:space="preserve">Baseline aggregate (6 runs): 5/6 reached, </w:t>
      </w:r>
      <w:r>
        <w:rPr>
          <w:b/>
        </w:rPr>
        <w:t xml:space="preserve">12.2 spill marks/run</w:t>
      </w:r>
      <w:r>
        <w:t xml:space="preserve">, ~449 g of water lost in total (5.6-7.6 g per marked event), 9 collisions, reached-run times 48-124 s (mean ≈ 91 s). Fresh-cup front-loading (most spills in the first ~25 s) reproduced in 3 of 3 fresh fills.</w:t>
      </w:r>
    </w:p>
    <w:p>
      <w:pPr>
        <w:spacing w:after="80" w:line="264" w:lineRule="auto"/>
      </w:pPr>
      <w:r>
        <w:rPr>
          <w:b/>
          <w:color w:val="1F3864"/>
          <w:sz w:val="30"/>
          <w:szCs w:val="30"/>
        </w:rPr>
        <w:t xml:space="preserve">3.  Real robot vs digital twin</w:t>
      </w:r>
    </w:p>
    <w:tbl>
      <w:tblPr>
        <w:tblW w:w="9450" w:type="dxa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1750"/>
        <w:gridCol w:w="2300"/>
        <w:gridCol w:w="2500"/>
        <w:gridCol w:w="2900"/>
      </w:tblGrid>
      <w:tr>
        <w:tc>
          <w:tcPr>
            <w:tcW w:w="1750" w:type="dxa"/>
            <w:shd w:val="clear" w:color="auto" w:fill="1F3864"/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4"/>
                <w:szCs w:val="14"/>
              </w:rPr>
              <w:t xml:space="preserve">Quantity</w:t>
            </w:r>
          </w:p>
        </w:tc>
        <w:tc>
          <w:tcPr>
            <w:tcW w:w="2300" w:type="dxa"/>
            <w:shd w:val="clear" w:color="auto" w:fill="1F3864"/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4"/>
                <w:szCs w:val="14"/>
              </w:rPr>
              <w:t xml:space="preserve">Digital twin (82 runs)</w:t>
            </w:r>
          </w:p>
        </w:tc>
        <w:tc>
          <w:tcPr>
            <w:tcW w:w="2500" w:type="dxa"/>
            <w:shd w:val="clear" w:color="auto" w:fill="1F3864"/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4"/>
                <w:szCs w:val="14"/>
              </w:rPr>
              <w:t xml:space="preserve">Real robot (session 1)</w:t>
            </w:r>
          </w:p>
        </w:tc>
        <w:tc>
          <w:tcPr>
            <w:tcW w:w="2900" w:type="dxa"/>
            <w:shd w:val="clear" w:color="auto" w:fill="1F3864"/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4"/>
                <w:szCs w:val="14"/>
              </w:rPr>
              <w:t xml:space="preserve">Reading</w:t>
            </w:r>
          </w:p>
        </w:tc>
      </w:tr>
      <w:tr>
        <w:tc>
          <w:tcPr>
            <w:tcW w:w="1750" w:type="dxa"/>
            <w:vAlign w:val="center"/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Baseline time A→B</w:t>
            </w:r>
          </w:p>
        </w:tc>
        <w:tc>
          <w:tcPr>
            <w:tcW w:w="2300" w:type="dxa"/>
            <w:vAlign w:val="center"/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83.4 ± 5.2 s</w:t>
            </w:r>
          </w:p>
        </w:tc>
        <w:tc>
          <w:tcPr>
            <w:tcW w:w="2500" w:type="dxa"/>
            <w:vAlign w:val="center"/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48-124 s, mean ≈ 91 s</w:t>
            </w:r>
          </w:p>
        </w:tc>
        <w:tc>
          <w:tcPr>
            <w:tcW w:w="2900" w:type="dxa"/>
            <w:vAlign w:val="center"/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Consistent; real variance larger</w:t>
            </w:r>
          </w:p>
        </w:tc>
      </w:tr>
      <w:tr>
        <w:tc>
          <w:tcPr>
            <w:tcW w:w="1750" w:type="dxa"/>
            <w:vAlign w:val="center"/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Baseline spills/run</w:t>
            </w:r>
          </w:p>
        </w:tc>
        <w:tc>
          <w:tcPr>
            <w:tcW w:w="2300" w:type="dxa"/>
            <w:vAlign w:val="center"/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0.50 ± 0.37</w:t>
            </w:r>
          </w:p>
        </w:tc>
        <w:tc>
          <w:tcPr>
            <w:tcW w:w="2500" w:type="dxa"/>
            <w:vAlign w:val="center"/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12.2 marks/run (~75 g/run)</w:t>
            </w:r>
          </w:p>
        </w:tc>
        <w:tc>
          <w:tcPr>
            <w:tcW w:w="2900" w:type="dxa"/>
            <w:vAlign w:val="center"/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Real gait ≈ 20× more excitatory than modelled: K_GAIT recalibration datum. Direction of the governed contrast unchanged</w:t>
            </w:r>
          </w:p>
        </w:tc>
      </w:tr>
      <w:tr>
        <w:tc>
          <w:tcPr>
            <w:tcW w:w="1750" w:type="dxa"/>
            <w:vAlign w:val="center"/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Water per spill event</w:t>
            </w:r>
          </w:p>
        </w:tc>
        <w:tc>
          <w:tcPr>
            <w:tcW w:w="2300" w:type="dxa"/>
            <w:vAlign w:val="center"/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FB_LOSS = 4 mm column (assumed)</w:t>
            </w:r>
          </w:p>
        </w:tc>
        <w:tc>
          <w:tcPr>
            <w:tcW w:w="2500" w:type="dxa"/>
            <w:vAlign w:val="center"/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5.6-7.6 g ≈ 1.4-1.9 mm column</w:t>
            </w:r>
          </w:p>
        </w:tc>
        <w:tc>
          <w:tcPr>
            <w:tcW w:w="2900" w:type="dxa"/>
            <w:vAlign w:val="center"/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Model constant to be re-fit (≈ 1.5 mm)</w:t>
            </w:r>
          </w:p>
        </w:tc>
      </w:tr>
      <w:tr>
        <w:tc>
          <w:tcPr>
            <w:tcW w:w="1750" w:type="dxa"/>
            <w:vAlign w:val="center"/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Fresh-cup front-loading</w:t>
            </w:r>
          </w:p>
        </w:tc>
        <w:tc>
          <w:tcPr>
            <w:tcW w:w="2300" w:type="dxa"/>
            <w:vAlign w:val="center"/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Predicted (freeboard mechanism)</w:t>
            </w:r>
          </w:p>
        </w:tc>
        <w:tc>
          <w:tcPr>
            <w:tcW w:w="2500" w:type="dxa"/>
            <w:vAlign w:val="center"/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Reproduced 3/3 fresh fills</w:t>
            </w:r>
          </w:p>
        </w:tc>
        <w:tc>
          <w:tcPr>
            <w:tcW w:w="2900" w:type="dxa"/>
            <w:vAlign w:val="center"/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Mechanism validated on hardware</w:t>
            </w:r>
          </w:p>
        </w:tc>
      </w:tr>
      <w:tr>
        <w:tc>
          <w:tcPr>
            <w:tcW w:w="1750" w:type="dxa"/>
            <w:vAlign w:val="center"/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Baseline failure mode</w:t>
            </w:r>
          </w:p>
        </w:tc>
        <w:tc>
          <w:tcPr>
            <w:tcW w:w="2300" w:type="dxa"/>
            <w:vAlign w:val="center"/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No door loop in twin (no clutter, wider twin door)</w:t>
            </w:r>
          </w:p>
        </w:tc>
        <w:tc>
          <w:tcPr>
            <w:tcW w:w="2500" w:type="dxa"/>
            <w:vAlign w:val="center"/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513 s door-frame loop, 7 collisions, manual kill</w:t>
            </w:r>
          </w:p>
        </w:tc>
        <w:tc>
          <w:tcPr>
            <w:tcW w:w="2900" w:type="dxa"/>
            <w:vAlign w:val="center"/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The historical failure (run 100927-style) is real and ungoverned; motivates escalation</w:t>
            </w:r>
          </w:p>
        </w:tc>
      </w:tr>
      <w:tr>
        <w:tc>
          <w:tcPr>
            <w:tcW w:w="1750" w:type="dxa"/>
            <w:vAlign w:val="center"/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HELP semantics</w:t>
            </w:r>
          </w:p>
        </w:tc>
        <w:tc>
          <w:tcPr>
            <w:tcW w:w="2300" w:type="dxa"/>
            <w:vAlign w:val="center"/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3/8 single-candidate arm aborts (mobility veto)</w:t>
            </w:r>
          </w:p>
        </w:tc>
        <w:tc>
          <w:tcPr>
            <w:tcW w:w="2500" w:type="dxa"/>
            <w:vAlign w:val="center"/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2/2 governed fresh-cup runs: spill marks → fragility veto → HELP → stop in 23.0 / 14.6 s</w:t>
            </w:r>
          </w:p>
        </w:tc>
        <w:tc>
          <w:tcPr>
            <w:tcW w:w="2900" w:type="dxa"/>
            <w:vAlign w:val="center"/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Full chain confirmed on hardware with human ground truth — first such demonstration</w:t>
            </w:r>
          </w:p>
        </w:tc>
      </w:tr>
      <w:tr>
        <w:tc>
          <w:tcPr>
            <w:tcW w:w="1750" w:type="dxa"/>
            <w:vAlign w:val="center"/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Start-phase spills</w:t>
            </w:r>
          </w:p>
        </w:tc>
        <w:tc>
          <w:tcPr>
            <w:tcW w:w="2300" w:type="dxa"/>
            <w:vAlign w:val="center"/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Present but below spill threshold (smooth planar start)</w:t>
            </w:r>
          </w:p>
        </w:tc>
        <w:tc>
          <w:tcPr>
            <w:tcW w:w="2500" w:type="dxa"/>
            <w:vAlign w:val="center"/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3-4 marks in first 15 s of EVERY fresh-cup run, governed or not</w:t>
            </w:r>
          </w:p>
        </w:tc>
        <w:tc>
          <w:tcPr>
            <w:tcW w:w="2900" w:type="dxa"/>
            <w:vAlign w:val="center"/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NEW finding: start turns dominate; turn rate is not governed (only forward speed) — post-campaign work item: angular-speed in analogy profiles</w:t>
            </w:r>
          </w:p>
        </w:tc>
      </w:tr>
      <w:tr>
        <w:tc>
          <w:tcPr>
            <w:tcW w:w="1750" w:type="dxa"/>
            <w:vAlign w:val="center"/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Governed completed runs</w:t>
            </w:r>
          </w:p>
        </w:tc>
        <w:tc>
          <w:tcPr>
            <w:tcW w:w="2300" w:type="dxa"/>
            <w:vAlign w:val="center"/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8/8 reached, 0 spills</w:t>
            </w:r>
          </w:p>
        </w:tc>
        <w:tc>
          <w:tcPr>
            <w:tcW w:w="2500" w:type="dxa"/>
            <w:vAlign w:val="center"/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None yet (2 HELP aborts at 246 g fill)</w:t>
            </w:r>
          </w:p>
        </w:tc>
        <w:tc>
          <w:tcPr>
            <w:tcW w:w="2900" w:type="dxa"/>
            <w:vAlign w:val="center"/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Session 2: 200 g fill (“payload level B”) + 2 baseline runs at 200 g for comparability</w:t>
            </w:r>
          </w:p>
        </w:tc>
      </w:tr>
    </w:tbl>
    <w:p>
      <w:pPr>
        <w:spacing w:after="80" w:line="264" w:lineRule="auto"/>
      </w:pPr>
      <w:r>
        <w:rPr>
          <w:b/>
          <w:color w:val="1F3864"/>
          <w:sz w:val="30"/>
          <w:szCs w:val="30"/>
        </w:rPr>
        <w:t xml:space="preserve">4.  Theory validation status after session 1</w:t>
      </w:r>
    </w:p>
    <w:p>
      <w:pPr>
        <w:spacing w:after="150" w:line="264" w:lineRule="auto"/>
      </w:pPr>
      <w:r>
        <w:rPr>
          <w:b/>
        </w:rPr>
        <w:t xml:space="preserve">Confirmed on hardware:</w:t>
      </w:r>
      <w:r>
        <w:t xml:space="preserve"> (a) conservative non-selection / HELP semantics with real human ground truth feeding the fragility channel — the single most important governance claim; (b) the spill model's freeboard mechanism (front-loading) and jerk-dominance (start turns, not cruise speed alone); (c) the ungoverned failure mode that experience escalation exists to prevent, timed at 513 s versus 23 s governed. </w:t>
      </w:r>
      <w:r>
        <w:rPr>
          <w:b/>
        </w:rPr>
        <w:t xml:space="preserve">Pending (session 2):</w:t>
      </w:r>
      <w:r>
        <w:t xml:space="preserve"> the headline availability-vs-deployability trade-off needs completed governed runs (200 g protocol); the Layer-2 cross-run recovery (wrong-prior arm R3) and the sealed-lid deltas (R4) are untouched. </w:t>
      </w:r>
      <w:r>
        <w:rPr>
          <w:b/>
        </w:rPr>
        <w:t xml:space="preserve">New knowledge produced by hardware:</w:t>
      </w:r>
      <w:r>
        <w:t xml:space="preserve"> turn manoeuvres are the dominant start-phase spill source and are currently outside the governed profile — an extension (angular-rate ceilings per analogy, mirroring the thesis profiles' multi-parameter policies) is queued for after the campaign.</w:t>
      </w:r>
    </w:p>
    <w:p>
      <w:pPr>
        <w:spacing w:after="80" w:line="264" w:lineRule="auto"/>
      </w:pPr>
      <w:r>
        <w:rPr>
          <w:b/>
          <w:color w:val="1F3864"/>
          <w:sz w:val="30"/>
          <w:szCs w:val="30"/>
        </w:rPr>
        <w:t xml:space="preserve">5.  Session 2 checklist</w:t>
      </w:r>
    </w:p>
    <w:p>
      <w:pPr>
        <w:spacing w:after="200" w:line="264" w:lineRule="auto"/>
      </w:pPr>
      <w:r>
        <w:t xml:space="preserve">(1) Robot relocalised at a waypoint; perception + proxy + marker terminals up. (2) R2 remaining runs at </w:t>
      </w:r>
      <w:r>
        <w:rPr>
          <w:b/>
        </w:rPr>
        <w:t xml:space="preserve">200 g fill</w:t>
      </w:r>
      <w:r>
        <w:t xml:space="preserve">, same command and state file (meta2_state_real_m2.json — REMEMBER to include it in git commits; it already holds two runs of mismatch evidence). (3) Then R3 wrong-prior (fresh meta2_state_real_wrong.json, 6 runs, note Pl after each). (4) R4 sealed lid (4 runs). (5) Two baseline runs at 200 g for the fill-level pairing. Marking discipline: a continuous slosh burst = ONE mark; ≥2 s calm separates events.</w:t>
      </w:r>
    </w:p>
    <w:p>
      <w:pPr>
        <w:spacing w:after="100" w:line="264" w:lineRule="auto"/>
      </w:pPr>
      <w:r>
        <w:rPr>
          <w:i/>
          <w:color w:val="595959"/>
          <w:sz w:val="19"/>
          <w:szCs w:val="19"/>
        </w:rPr>
        <w:t xml:space="preserve">Data: all 8 runs pushed to main (datasets + filmstrips + goto.log). Companion documents: Digital-Twin Experiment rev. 4, Real-Robot Campaign Guide.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