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CA4B" w14:textId="700BF200" w:rsidR="00CF1DF5" w:rsidRDefault="00AC6A80">
      <w:pPr>
        <w:rPr>
          <w:rFonts w:ascii="Garamond" w:hAnsi="Garamond"/>
          <w:sz w:val="36"/>
          <w:szCs w:val="36"/>
          <w:u w:val="single"/>
        </w:rPr>
      </w:pPr>
      <w:r>
        <w:rPr>
          <w:rFonts w:ascii="Garamond" w:hAnsi="Garamond"/>
          <w:sz w:val="36"/>
          <w:szCs w:val="36"/>
          <w:u w:val="single"/>
        </w:rPr>
        <w:t>Metallurgic Analysis of Tetrarchic Folles – Research Proposal</w:t>
      </w:r>
    </w:p>
    <w:p w14:paraId="71FA24E0" w14:textId="4E7B3EC9" w:rsidR="00B26859" w:rsidRDefault="00AC6A80">
      <w:pPr>
        <w:rPr>
          <w:rFonts w:ascii="Garamond" w:hAnsi="Garamond"/>
          <w:sz w:val="24"/>
          <w:szCs w:val="24"/>
        </w:rPr>
      </w:pPr>
      <w:r>
        <w:rPr>
          <w:rFonts w:ascii="Garamond" w:hAnsi="Garamond"/>
          <w:sz w:val="24"/>
          <w:szCs w:val="24"/>
        </w:rPr>
        <w:t>Roman Tetrarchic Folles, minted from 294 – 305CE, following Aurelian’s monetary reform in 274CE and later, with their introduction in Diocletian’s reforms in 294CE, were significantly debased from the pre-274 Denarius and the contemporary Argenteus, maintaining a low-percentage silver composition of ~1.7%. However, in order to distinguish these coins as part of the silver coinage system, through a process of enrichment through an acid wash, they were coated in a “silver-wash” on their surface. Overtime however, due to the relatively low thickness of this silver-wash, this wash has degraded significantly. As XRF spectroscopy are characteristically surface-level analysis techniques,</w:t>
      </w:r>
      <w:r w:rsidR="00B26859">
        <w:rPr>
          <w:rFonts w:ascii="Garamond" w:hAnsi="Garamond"/>
          <w:sz w:val="24"/>
          <w:szCs w:val="24"/>
        </w:rPr>
        <w:t xml:space="preserve"> with an information depth of somewhere between 1μm to 1mm,</w:t>
      </w:r>
      <w:r>
        <w:rPr>
          <w:rFonts w:ascii="Garamond" w:hAnsi="Garamond"/>
          <w:sz w:val="24"/>
          <w:szCs w:val="24"/>
        </w:rPr>
        <w:t xml:space="preserve"> </w:t>
      </w:r>
      <w:r w:rsidR="00B26859">
        <w:rPr>
          <w:rFonts w:ascii="Garamond" w:hAnsi="Garamond"/>
          <w:sz w:val="24"/>
          <w:szCs w:val="24"/>
        </w:rPr>
        <w:t>an opportunity for an investigation into the effects of natural erosion on the coins’ silver-wash becomes available. From typological analysis, rough minting locations and dates can be made, allowing for conclusions regarding condition and erosional rate for the silver wash can be made.</w:t>
      </w:r>
    </w:p>
    <w:p w14:paraId="6467DD57" w14:textId="75FB6019" w:rsidR="00D51C2E" w:rsidRDefault="00D51C2E">
      <w:pPr>
        <w:rPr>
          <w:rFonts w:ascii="Garamond" w:hAnsi="Garamond"/>
          <w:sz w:val="24"/>
          <w:szCs w:val="24"/>
        </w:rPr>
      </w:pPr>
      <w:r>
        <w:rPr>
          <w:rFonts w:ascii="Garamond" w:hAnsi="Garamond"/>
          <w:sz w:val="24"/>
          <w:szCs w:val="24"/>
        </w:rPr>
        <w:tab/>
      </w:r>
      <w:sdt>
        <w:sdtPr>
          <w:rPr>
            <w:rFonts w:ascii="Garamond" w:hAnsi="Garamond"/>
            <w:sz w:val="24"/>
            <w:szCs w:val="24"/>
          </w:rPr>
          <w:id w:val="-694539000"/>
          <w:citation/>
        </w:sdtPr>
        <w:sdtContent>
          <w:r>
            <w:rPr>
              <w:rFonts w:ascii="Garamond" w:hAnsi="Garamond"/>
              <w:sz w:val="24"/>
              <w:szCs w:val="24"/>
            </w:rPr>
            <w:fldChar w:fldCharType="begin"/>
          </w:r>
          <w:r>
            <w:rPr>
              <w:rFonts w:ascii="Garamond" w:hAnsi="Garamond"/>
              <w:sz w:val="24"/>
              <w:szCs w:val="24"/>
            </w:rPr>
            <w:instrText xml:space="preserve"> CITATION COP96 \l 3081 </w:instrText>
          </w:r>
          <w:r>
            <w:rPr>
              <w:rFonts w:ascii="Garamond" w:hAnsi="Garamond"/>
              <w:sz w:val="24"/>
              <w:szCs w:val="24"/>
            </w:rPr>
            <w:fldChar w:fldCharType="separate"/>
          </w:r>
          <w:r w:rsidRPr="00D51C2E">
            <w:rPr>
              <w:rFonts w:ascii="Garamond" w:hAnsi="Garamond"/>
              <w:noProof/>
              <w:sz w:val="24"/>
              <w:szCs w:val="24"/>
            </w:rPr>
            <w:t>(COPE, 1996)</w:t>
          </w:r>
          <w:r>
            <w:rPr>
              <w:rFonts w:ascii="Garamond" w:hAnsi="Garamond"/>
              <w:sz w:val="24"/>
              <w:szCs w:val="24"/>
            </w:rPr>
            <w:fldChar w:fldCharType="end"/>
          </w:r>
        </w:sdtContent>
      </w:sdt>
      <w:r>
        <w:rPr>
          <w:rFonts w:ascii="Garamond" w:hAnsi="Garamond"/>
          <w:sz w:val="24"/>
          <w:szCs w:val="24"/>
        </w:rPr>
        <w:t xml:space="preserve"> performed an investigation into the internal composition of the Tetrarchic folles, by means described in </w:t>
      </w:r>
      <w:sdt>
        <w:sdtPr>
          <w:rPr>
            <w:rFonts w:ascii="Garamond" w:hAnsi="Garamond"/>
            <w:sz w:val="24"/>
            <w:szCs w:val="24"/>
          </w:rPr>
          <w:id w:val="1872648036"/>
          <w:citation/>
        </w:sdtPr>
        <w:sdtContent>
          <w:r>
            <w:rPr>
              <w:rFonts w:ascii="Garamond" w:hAnsi="Garamond"/>
              <w:sz w:val="24"/>
              <w:szCs w:val="24"/>
            </w:rPr>
            <w:fldChar w:fldCharType="begin"/>
          </w:r>
          <w:r>
            <w:rPr>
              <w:rFonts w:ascii="Garamond" w:hAnsi="Garamond"/>
              <w:sz w:val="24"/>
              <w:szCs w:val="24"/>
            </w:rPr>
            <w:instrText xml:space="preserve"> CITATION EAR64 \l 3081 </w:instrText>
          </w:r>
          <w:r>
            <w:rPr>
              <w:rFonts w:ascii="Garamond" w:hAnsi="Garamond"/>
              <w:sz w:val="24"/>
              <w:szCs w:val="24"/>
            </w:rPr>
            <w:fldChar w:fldCharType="separate"/>
          </w:r>
          <w:r w:rsidRPr="00D51C2E">
            <w:rPr>
              <w:rFonts w:ascii="Garamond" w:hAnsi="Garamond"/>
              <w:noProof/>
              <w:sz w:val="24"/>
              <w:szCs w:val="24"/>
            </w:rPr>
            <w:t>(CALEY, 1964)</w:t>
          </w:r>
          <w:r>
            <w:rPr>
              <w:rFonts w:ascii="Garamond" w:hAnsi="Garamond"/>
              <w:sz w:val="24"/>
              <w:szCs w:val="24"/>
            </w:rPr>
            <w:fldChar w:fldCharType="end"/>
          </w:r>
        </w:sdtContent>
      </w:sdt>
      <w:r>
        <w:rPr>
          <w:rFonts w:ascii="Garamond" w:hAnsi="Garamond"/>
          <w:sz w:val="24"/>
          <w:szCs w:val="24"/>
        </w:rPr>
        <w:t>. Regarding silver composition, I compiled his data to including mean and standard deviation by mint location, in order to a comparative analysis following an XRF analysis. The data is attached at the end of the proposal, but on average, the folles contain approximately 1.7% silver (Ag) by mass, 90% Copper (Cu), 5% Tin (Sn)</w:t>
      </w:r>
      <w:r w:rsidR="00E2402D">
        <w:rPr>
          <w:rFonts w:ascii="Garamond" w:hAnsi="Garamond"/>
          <w:sz w:val="24"/>
          <w:szCs w:val="24"/>
        </w:rPr>
        <w:t xml:space="preserve">, 5% </w:t>
      </w:r>
      <w:r w:rsidR="00E2402D">
        <w:rPr>
          <w:rFonts w:ascii="Garamond" w:hAnsi="Garamond"/>
          <w:sz w:val="24"/>
          <w:szCs w:val="24"/>
        </w:rPr>
        <w:t>Lead (Pb)</w:t>
      </w:r>
      <w:r w:rsidR="00E2402D">
        <w:rPr>
          <w:rFonts w:ascii="Garamond" w:hAnsi="Garamond"/>
          <w:sz w:val="24"/>
          <w:szCs w:val="24"/>
        </w:rPr>
        <w:t xml:space="preserve"> </w:t>
      </w:r>
      <w:r>
        <w:rPr>
          <w:rFonts w:ascii="Garamond" w:hAnsi="Garamond"/>
          <w:sz w:val="24"/>
          <w:szCs w:val="24"/>
        </w:rPr>
        <w:t>and trace amounts of other alloying agents such as Iron (Fe), Nickle (Ni), Zinc (Zn). He also, suggests, as expected, a much higher percentage composition of Ag in the surface wash.</w:t>
      </w:r>
    </w:p>
    <w:p w14:paraId="2211114B" w14:textId="22CED799" w:rsidR="00D51C2E" w:rsidRDefault="00D51C2E">
      <w:pPr>
        <w:rPr>
          <w:rFonts w:ascii="Garamond" w:hAnsi="Garamond"/>
          <w:sz w:val="24"/>
          <w:szCs w:val="24"/>
        </w:rPr>
      </w:pPr>
      <w:r>
        <w:rPr>
          <w:rFonts w:ascii="Garamond" w:hAnsi="Garamond"/>
          <w:sz w:val="24"/>
          <w:szCs w:val="24"/>
        </w:rPr>
        <w:tab/>
        <w:t xml:space="preserve">XRF analysis can as such be used to make a comparative analysis to </w:t>
      </w:r>
      <w:sdt>
        <w:sdtPr>
          <w:rPr>
            <w:rFonts w:ascii="Garamond" w:hAnsi="Garamond"/>
            <w:sz w:val="24"/>
            <w:szCs w:val="24"/>
          </w:rPr>
          <w:id w:val="-1119451541"/>
          <w:citation/>
        </w:sdtPr>
        <w:sdtContent>
          <w:r>
            <w:rPr>
              <w:rFonts w:ascii="Garamond" w:hAnsi="Garamond"/>
              <w:sz w:val="24"/>
              <w:szCs w:val="24"/>
            </w:rPr>
            <w:fldChar w:fldCharType="begin"/>
          </w:r>
          <w:r>
            <w:rPr>
              <w:rFonts w:ascii="Garamond" w:hAnsi="Garamond"/>
              <w:sz w:val="24"/>
              <w:szCs w:val="24"/>
            </w:rPr>
            <w:instrText xml:space="preserve"> CITATION COP96 \l 3081 </w:instrText>
          </w:r>
          <w:r>
            <w:rPr>
              <w:rFonts w:ascii="Garamond" w:hAnsi="Garamond"/>
              <w:sz w:val="24"/>
              <w:szCs w:val="24"/>
            </w:rPr>
            <w:fldChar w:fldCharType="separate"/>
          </w:r>
          <w:r w:rsidRPr="00D51C2E">
            <w:rPr>
              <w:rFonts w:ascii="Garamond" w:hAnsi="Garamond"/>
              <w:noProof/>
              <w:sz w:val="24"/>
              <w:szCs w:val="24"/>
            </w:rPr>
            <w:t>(COPE, 1996)</w:t>
          </w:r>
          <w:r>
            <w:rPr>
              <w:rFonts w:ascii="Garamond" w:hAnsi="Garamond"/>
              <w:sz w:val="24"/>
              <w:szCs w:val="24"/>
            </w:rPr>
            <w:fldChar w:fldCharType="end"/>
          </w:r>
        </w:sdtContent>
      </w:sdt>
      <w:r>
        <w:rPr>
          <w:rFonts w:ascii="Garamond" w:hAnsi="Garamond"/>
          <w:sz w:val="24"/>
          <w:szCs w:val="24"/>
        </w:rPr>
        <w:t xml:space="preserve">’s results. Although XRF cannot provide exact measurements regarding percentage composition by mass, rough proportional determinations can be made by comparisons of peak heights of different elements, such that higher percentage compositions will yield higher K and L peak heights. </w:t>
      </w:r>
      <w:r w:rsidR="00E2402D">
        <w:rPr>
          <w:rFonts w:ascii="Garamond" w:hAnsi="Garamond"/>
          <w:sz w:val="24"/>
          <w:szCs w:val="24"/>
        </w:rPr>
        <w:t>As the information depth of XRF is greater than the width of the surface wash, an ideal scan, assuming no erosion, will see high concentrations of Ag, followed by Cu then Sn. With increased erosion, as such, peaks should approach the internal Ag percentage compositions of 1.7%, which should follow Cu, Sn and Pb.</w:t>
      </w:r>
    </w:p>
    <w:p w14:paraId="3AF74FAC" w14:textId="0FE43AD9" w:rsidR="00A3735A" w:rsidRDefault="00E2402D">
      <w:pPr>
        <w:rPr>
          <w:rFonts w:ascii="Garamond" w:hAnsi="Garamond"/>
          <w:sz w:val="24"/>
          <w:szCs w:val="24"/>
        </w:rPr>
      </w:pPr>
      <w:r>
        <w:rPr>
          <w:rFonts w:ascii="Garamond" w:hAnsi="Garamond"/>
          <w:sz w:val="24"/>
          <w:szCs w:val="24"/>
        </w:rPr>
        <w:tab/>
      </w:r>
      <w:r w:rsidR="00A3735A">
        <w:rPr>
          <w:rFonts w:ascii="Garamond" w:hAnsi="Garamond"/>
          <w:sz w:val="24"/>
          <w:szCs w:val="24"/>
        </w:rPr>
        <w:t xml:space="preserve">Samples with high erosion of the inert Ag wash will hence see high levels of oxidisation, which may cause unexpected peaks of O in the XRF analysis. The level of this data corruption may be ascertained with a RAMAN analysis, which has been seen to be effective in detecting </w:t>
      </w:r>
      <w:proofErr w:type="spellStart"/>
      <w:r w:rsidR="00A3735A">
        <w:rPr>
          <w:rFonts w:ascii="Garamond" w:hAnsi="Garamond"/>
          <w:sz w:val="24"/>
          <w:szCs w:val="24"/>
        </w:rPr>
        <w:t>CuO</w:t>
      </w:r>
      <w:proofErr w:type="spellEnd"/>
      <w:r w:rsidR="00A3735A">
        <w:rPr>
          <w:rFonts w:ascii="Garamond" w:hAnsi="Garamond"/>
          <w:sz w:val="24"/>
          <w:szCs w:val="24"/>
        </w:rPr>
        <w:t xml:space="preserve"> and Cu</w:t>
      </w:r>
      <w:r w:rsidR="00A3735A">
        <w:rPr>
          <w:rFonts w:ascii="Garamond" w:hAnsi="Garamond"/>
          <w:sz w:val="24"/>
          <w:szCs w:val="24"/>
          <w:vertAlign w:val="subscript"/>
        </w:rPr>
        <w:t>2</w:t>
      </w:r>
      <w:r w:rsidR="00A3735A">
        <w:rPr>
          <w:rFonts w:ascii="Garamond" w:hAnsi="Garamond"/>
          <w:sz w:val="24"/>
          <w:szCs w:val="24"/>
        </w:rPr>
        <w:t>O bonds, allowing for a maintenance of validity in the experiment despite the oxidising erosion.</w:t>
      </w:r>
    </w:p>
    <w:p w14:paraId="41B263B5" w14:textId="4BA7E987" w:rsidR="00A3735A" w:rsidRDefault="00A3735A">
      <w:pPr>
        <w:rPr>
          <w:rFonts w:ascii="Garamond" w:hAnsi="Garamond"/>
          <w:sz w:val="24"/>
          <w:szCs w:val="24"/>
        </w:rPr>
      </w:pPr>
      <w:r>
        <w:rPr>
          <w:rFonts w:ascii="Garamond" w:hAnsi="Garamond"/>
          <w:sz w:val="24"/>
          <w:szCs w:val="24"/>
        </w:rPr>
        <w:tab/>
        <w:t xml:space="preserve">As such, in order to ascertain the rate of Ag erosion and to determine the level of erosion of the samples, both XRF analysis and RAMAN spectroscopy will be useful in determining levels of Ag and presence of </w:t>
      </w:r>
      <w:proofErr w:type="spellStart"/>
      <w:r>
        <w:rPr>
          <w:rFonts w:ascii="Garamond" w:hAnsi="Garamond"/>
          <w:sz w:val="24"/>
          <w:szCs w:val="24"/>
        </w:rPr>
        <w:t>CuO</w:t>
      </w:r>
      <w:proofErr w:type="spellEnd"/>
      <w:r>
        <w:rPr>
          <w:rFonts w:ascii="Garamond" w:hAnsi="Garamond"/>
          <w:sz w:val="24"/>
          <w:szCs w:val="24"/>
        </w:rPr>
        <w:t xml:space="preserve"> and </w:t>
      </w:r>
      <w:r>
        <w:rPr>
          <w:rFonts w:ascii="Garamond" w:hAnsi="Garamond"/>
          <w:sz w:val="24"/>
          <w:szCs w:val="24"/>
        </w:rPr>
        <w:t>Cu</w:t>
      </w:r>
      <w:r>
        <w:rPr>
          <w:rFonts w:ascii="Garamond" w:hAnsi="Garamond"/>
          <w:sz w:val="24"/>
          <w:szCs w:val="24"/>
          <w:vertAlign w:val="subscript"/>
        </w:rPr>
        <w:t>2</w:t>
      </w:r>
      <w:r>
        <w:rPr>
          <w:rFonts w:ascii="Garamond" w:hAnsi="Garamond"/>
          <w:sz w:val="24"/>
          <w:szCs w:val="24"/>
        </w:rPr>
        <w:t>O</w:t>
      </w:r>
      <w:r>
        <w:rPr>
          <w:rFonts w:ascii="Garamond" w:hAnsi="Garamond"/>
          <w:sz w:val="24"/>
          <w:szCs w:val="24"/>
        </w:rPr>
        <w:t xml:space="preserve"> on the sample.</w:t>
      </w:r>
    </w:p>
    <w:p w14:paraId="03B6B757" w14:textId="13A4292C" w:rsidR="00A3735A" w:rsidRDefault="00A3735A">
      <w:pPr>
        <w:rPr>
          <w:rFonts w:ascii="Garamond" w:hAnsi="Garamond"/>
          <w:sz w:val="24"/>
          <w:szCs w:val="24"/>
        </w:rPr>
      </w:pPr>
    </w:p>
    <w:p w14:paraId="1BCC490A" w14:textId="071AC620" w:rsidR="00A3735A" w:rsidRDefault="00A3735A">
      <w:pPr>
        <w:rPr>
          <w:rFonts w:ascii="Garamond" w:hAnsi="Garamond"/>
          <w:sz w:val="24"/>
          <w:szCs w:val="24"/>
        </w:rPr>
      </w:pPr>
    </w:p>
    <w:p w14:paraId="292F63A9" w14:textId="1A0F206A" w:rsidR="00A3735A" w:rsidRDefault="00A3735A">
      <w:pPr>
        <w:rPr>
          <w:rFonts w:ascii="Garamond" w:hAnsi="Garamond"/>
          <w:sz w:val="24"/>
          <w:szCs w:val="24"/>
        </w:rPr>
      </w:pPr>
    </w:p>
    <w:p w14:paraId="515B4A10" w14:textId="3635338F" w:rsidR="00A3735A" w:rsidRDefault="00A3735A">
      <w:pPr>
        <w:rPr>
          <w:rFonts w:ascii="Garamond" w:hAnsi="Garamond"/>
          <w:sz w:val="24"/>
          <w:szCs w:val="24"/>
        </w:rPr>
      </w:pPr>
    </w:p>
    <w:p w14:paraId="3207D66F" w14:textId="71BA1FDC" w:rsidR="00A3735A" w:rsidRDefault="00A3735A">
      <w:pPr>
        <w:rPr>
          <w:rFonts w:ascii="Garamond" w:hAnsi="Garamond"/>
          <w:sz w:val="24"/>
          <w:szCs w:val="24"/>
        </w:rPr>
      </w:pPr>
    </w:p>
    <w:sdt>
      <w:sdtPr>
        <w:id w:val="-407305602"/>
        <w:docPartObj>
          <w:docPartGallery w:val="Bibliographies"/>
          <w:docPartUnique/>
        </w:docPartObj>
      </w:sdtPr>
      <w:sdtEndPr>
        <w:rPr>
          <w:rFonts w:asciiTheme="minorHAnsi" w:eastAsiaTheme="minorHAnsi" w:hAnsiTheme="minorHAnsi" w:cstheme="minorBidi"/>
          <w:color w:val="auto"/>
          <w:sz w:val="22"/>
          <w:szCs w:val="22"/>
          <w:lang w:val="en-AU"/>
        </w:rPr>
      </w:sdtEndPr>
      <w:sdtContent>
        <w:p w14:paraId="1E3C30C0" w14:textId="32A15F98" w:rsidR="00A3735A" w:rsidRDefault="00A3735A">
          <w:pPr>
            <w:pStyle w:val="Heading1"/>
          </w:pPr>
          <w:r>
            <w:t>References</w:t>
          </w:r>
        </w:p>
        <w:sdt>
          <w:sdtPr>
            <w:id w:val="-573587230"/>
            <w:bibliography/>
          </w:sdtPr>
          <w:sdtContent>
            <w:p w14:paraId="79736446" w14:textId="77777777" w:rsidR="00A3735A" w:rsidRDefault="00A3735A" w:rsidP="00A3735A">
              <w:pPr>
                <w:pStyle w:val="Bibliography"/>
                <w:rPr>
                  <w:noProof/>
                  <w:sz w:val="24"/>
                  <w:szCs w:val="24"/>
                  <w:lang w:val="en-US"/>
                </w:rPr>
              </w:pPr>
              <w:r>
                <w:fldChar w:fldCharType="begin"/>
              </w:r>
              <w:r>
                <w:instrText xml:space="preserve"> BIBLIOGRAPHY </w:instrText>
              </w:r>
              <w:r>
                <w:fldChar w:fldCharType="separate"/>
              </w:r>
              <w:r>
                <w:rPr>
                  <w:noProof/>
                  <w:lang w:val="en-US"/>
                </w:rPr>
                <w:t xml:space="preserve">CALEY, E. R., 1964. ANALYSIS OF ANCIENT METALS. </w:t>
              </w:r>
            </w:p>
            <w:p w14:paraId="5ADACC3C" w14:textId="77777777" w:rsidR="00A3735A" w:rsidRDefault="00A3735A" w:rsidP="00A3735A">
              <w:pPr>
                <w:pStyle w:val="Bibliography"/>
                <w:rPr>
                  <w:noProof/>
                  <w:lang w:val="en-US"/>
                </w:rPr>
              </w:pPr>
              <w:r>
                <w:rPr>
                  <w:noProof/>
                  <w:lang w:val="en-US"/>
                </w:rPr>
                <w:t xml:space="preserve">COPE, L. H., 1996. THE ARGENTIFEROUS BRONZE ALLOYS OF THE LARGE TETRARCHIC FOLLES OF A. D.. </w:t>
              </w:r>
              <w:r>
                <w:rPr>
                  <w:i/>
                  <w:iCs/>
                  <w:noProof/>
                  <w:lang w:val="en-US"/>
                </w:rPr>
                <w:t xml:space="preserve">The Numismatic Chronicle, </w:t>
              </w:r>
              <w:r>
                <w:rPr>
                  <w:noProof/>
                  <w:lang w:val="en-US"/>
                </w:rPr>
                <w:t>pp. 123-125.</w:t>
              </w:r>
            </w:p>
            <w:p w14:paraId="0626ED20" w14:textId="718FBF0E" w:rsidR="00A3735A" w:rsidRDefault="00A3735A" w:rsidP="00A3735A">
              <w:r>
                <w:rPr>
                  <w:b/>
                  <w:bCs/>
                  <w:noProof/>
                </w:rPr>
                <w:fldChar w:fldCharType="end"/>
              </w:r>
            </w:p>
          </w:sdtContent>
        </w:sdt>
      </w:sdtContent>
    </w:sdt>
    <w:bookmarkStart w:id="0" w:name="_MON_1680344521"/>
    <w:bookmarkEnd w:id="0"/>
    <w:p w14:paraId="0C653C54" w14:textId="00CBF644" w:rsidR="00A3735A" w:rsidRPr="00A3735A" w:rsidRDefault="00576B2D">
      <w:pPr>
        <w:rPr>
          <w:rFonts w:ascii="Garamond" w:hAnsi="Garamond"/>
          <w:sz w:val="36"/>
          <w:szCs w:val="36"/>
          <w:u w:val="single"/>
        </w:rPr>
      </w:pPr>
      <w:r>
        <w:rPr>
          <w:rFonts w:ascii="Garamond" w:hAnsi="Garamond"/>
          <w:sz w:val="36"/>
          <w:szCs w:val="36"/>
          <w:u w:val="single"/>
        </w:rPr>
        <w:object w:dxaOrig="10858" w:dyaOrig="6978" w14:anchorId="57FD6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543pt;height:348.75pt" o:ole="">
            <v:imagedata r:id="rId5" o:title=""/>
          </v:shape>
          <o:OLEObject Type="Embed" ProgID="Excel.Sheet.12" ShapeID="_x0000_i1040" DrawAspect="Content" ObjectID="_1680344751" r:id="rId6"/>
        </w:object>
      </w:r>
    </w:p>
    <w:sectPr w:rsidR="00A3735A" w:rsidRPr="00A37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80"/>
    <w:rsid w:val="00122AB4"/>
    <w:rsid w:val="00576B2D"/>
    <w:rsid w:val="00A3735A"/>
    <w:rsid w:val="00AC6A80"/>
    <w:rsid w:val="00B26859"/>
    <w:rsid w:val="00CF1DF5"/>
    <w:rsid w:val="00D51C2E"/>
    <w:rsid w:val="00E240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329F"/>
  <w15:chartTrackingRefBased/>
  <w15:docId w15:val="{1B3DB8ED-B21E-4CC2-B5F8-DF7C03A8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35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5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37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2812">
      <w:bodyDiv w:val="1"/>
      <w:marLeft w:val="0"/>
      <w:marRight w:val="0"/>
      <w:marTop w:val="0"/>
      <w:marBottom w:val="0"/>
      <w:divBdr>
        <w:top w:val="none" w:sz="0" w:space="0" w:color="auto"/>
        <w:left w:val="none" w:sz="0" w:space="0" w:color="auto"/>
        <w:bottom w:val="none" w:sz="0" w:space="0" w:color="auto"/>
        <w:right w:val="none" w:sz="0" w:space="0" w:color="auto"/>
      </w:divBdr>
    </w:div>
    <w:div w:id="176845144">
      <w:bodyDiv w:val="1"/>
      <w:marLeft w:val="0"/>
      <w:marRight w:val="0"/>
      <w:marTop w:val="0"/>
      <w:marBottom w:val="0"/>
      <w:divBdr>
        <w:top w:val="none" w:sz="0" w:space="0" w:color="auto"/>
        <w:left w:val="none" w:sz="0" w:space="0" w:color="auto"/>
        <w:bottom w:val="none" w:sz="0" w:space="0" w:color="auto"/>
        <w:right w:val="none" w:sz="0" w:space="0" w:color="auto"/>
      </w:divBdr>
    </w:div>
    <w:div w:id="509832997">
      <w:bodyDiv w:val="1"/>
      <w:marLeft w:val="0"/>
      <w:marRight w:val="0"/>
      <w:marTop w:val="0"/>
      <w:marBottom w:val="0"/>
      <w:divBdr>
        <w:top w:val="none" w:sz="0" w:space="0" w:color="auto"/>
        <w:left w:val="none" w:sz="0" w:space="0" w:color="auto"/>
        <w:bottom w:val="none" w:sz="0" w:space="0" w:color="auto"/>
        <w:right w:val="none" w:sz="0" w:space="0" w:color="auto"/>
      </w:divBdr>
    </w:div>
    <w:div w:id="1031341160">
      <w:bodyDiv w:val="1"/>
      <w:marLeft w:val="0"/>
      <w:marRight w:val="0"/>
      <w:marTop w:val="0"/>
      <w:marBottom w:val="0"/>
      <w:divBdr>
        <w:top w:val="none" w:sz="0" w:space="0" w:color="auto"/>
        <w:left w:val="none" w:sz="0" w:space="0" w:color="auto"/>
        <w:bottom w:val="none" w:sz="0" w:space="0" w:color="auto"/>
        <w:right w:val="none" w:sz="0" w:space="0" w:color="auto"/>
      </w:divBdr>
    </w:div>
    <w:div w:id="1534415429">
      <w:bodyDiv w:val="1"/>
      <w:marLeft w:val="0"/>
      <w:marRight w:val="0"/>
      <w:marTop w:val="0"/>
      <w:marBottom w:val="0"/>
      <w:divBdr>
        <w:top w:val="none" w:sz="0" w:space="0" w:color="auto"/>
        <w:left w:val="none" w:sz="0" w:space="0" w:color="auto"/>
        <w:bottom w:val="none" w:sz="0" w:space="0" w:color="auto"/>
        <w:right w:val="none" w:sz="0" w:space="0" w:color="auto"/>
      </w:divBdr>
    </w:div>
    <w:div w:id="16452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EAR64</b:Tag>
    <b:SourceType>JournalArticle</b:SourceType>
    <b:Guid>{6E0F97CA-6FC6-48DF-9259-68E651F31000}</b:Guid>
    <b:Author>
      <b:Author>
        <b:NameList>
          <b:Person>
            <b:Last>CALEY</b:Last>
            <b:First>EARLE</b:First>
            <b:Middle>R.</b:Middle>
          </b:Person>
        </b:NameList>
      </b:Author>
    </b:Author>
    <b:Title>ANALYSIS OF ANCIENT METALS</b:Title>
    <b:Year>1964</b:Year>
    <b:RefOrder>2</b:RefOrder>
  </b:Source>
  <b:Source>
    <b:Tag>COP96</b:Tag>
    <b:SourceType>JournalArticle</b:SourceType>
    <b:Guid>{A4797D7C-3FAE-4F13-BEA5-BC499AD15D2F}</b:Guid>
    <b:Author>
      <b:Author>
        <b:NameList>
          <b:Person>
            <b:Last>COPE</b:Last>
            <b:First>LAWRENCE</b:First>
            <b:Middle>H.</b:Middle>
          </b:Person>
        </b:NameList>
      </b:Author>
    </b:Author>
    <b:Title>THE ARGENTIFEROUS BRONZE ALLOYS OF THE LARGE TETRARCHIC FOLLES OF A. D.</b:Title>
    <b:JournalName>The Numismatic Chronicle</b:JournalName>
    <b:Year>1996</b:Year>
    <b:Pages>123-125</b:Pages>
    <b:RefOrder>1</b:RefOrder>
  </b:Source>
</b:Sources>
</file>

<file path=customXml/itemProps1.xml><?xml version="1.0" encoding="utf-8"?>
<ds:datastoreItem xmlns:ds="http://schemas.openxmlformats.org/officeDocument/2006/customXml" ds:itemID="{CDF6AD9C-5CD3-4062-9DF5-3E6E7855B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 Nicholas</dc:creator>
  <cp:keywords/>
  <dc:description/>
  <cp:lastModifiedBy>Eamon Nicholas</cp:lastModifiedBy>
  <cp:revision>2</cp:revision>
  <dcterms:created xsi:type="dcterms:W3CDTF">2021-04-19T02:46:00Z</dcterms:created>
  <dcterms:modified xsi:type="dcterms:W3CDTF">2021-04-19T03:39:00Z</dcterms:modified>
</cp:coreProperties>
</file>