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56"/>
          <w:szCs w:val="56"/>
        </w:rPr>
        <w:t xml:space="preserve">FitDesk</w:t>
      </w:r>
    </w:p>
    <w:p>
      <w:pPr>
        <w:spacing w:after="200"/>
        <w:jc w:val="center"/>
      </w:pPr>
      <w:r>
        <w:rPr>
          <w:color w:val="333333"/>
          <w:sz w:val="36"/>
          <w:szCs w:val="36"/>
        </w:rPr>
        <w:t xml:space="preserve">Business Structure &amp; Operational Options</w:t>
      </w:r>
    </w:p>
    <w:p>
      <w:pPr>
        <w:spacing w:after="600"/>
        <w:jc w:val="center"/>
      </w:pPr>
      <w:r>
        <w:rPr>
          <w:i/>
          <w:iCs/>
          <w:color w:val="666666"/>
          <w:sz w:val="24"/>
          <w:szCs w:val="24"/>
        </w:rPr>
        <w:t xml:space="preserve">A strategic review of entity, jurisdiction, and operator options</w:t>
      </w:r>
    </w:p>
    <w:p>
      <w:pPr>
        <w:spacing w:after="100"/>
        <w:jc w:val="center"/>
      </w:pPr>
      <w:r>
        <w:rPr>
          <w:sz w:val="22"/>
          <w:szCs w:val="22"/>
        </w:rPr>
        <w:t xml:space="preserve">Prepared for: Abhinav Sharma</w:t>
      </w:r>
    </w:p>
    <w:p>
      <w:pPr>
        <w:spacing w:after="100"/>
        <w:jc w:val="center"/>
      </w:pPr>
      <w:r>
        <w:rPr>
          <w:sz w:val="22"/>
          <w:szCs w:val="22"/>
        </w:rPr>
        <w:t xml:space="preserve">Date: April 19, 2026</w:t>
      </w:r>
    </w:p>
    <w:p>
      <w:pPr>
        <w:spacing w:after="0"/>
        <w:jc w:val="center"/>
      </w:pPr>
      <w:r>
        <w:rPr>
          <w:i/>
          <w:iCs/>
          <w:color w:val="666666"/>
          <w:sz w:val="22"/>
          <w:szCs w:val="22"/>
        </w:rPr>
        <w:t xml:space="preserve">Status: For reference — decisions recorded</w:t>
      </w:r>
    </w:p>
    <w:p>
      <w:r>
        <w:br w:type="page"/>
      </w:r>
    </w:p>
    <w:p>
      <w:pPr>
        <w:pStyle w:val="Heading1"/>
        <w:spacing w:after="200" w:before="360"/>
      </w:pPr>
      <w:r>
        <w:t xml:space="preserve">Executive Summary</w:t>
      </w:r>
    </w:p>
    <w:p>
      <w:pPr>
        <w:spacing w:after="120"/>
      </w:pPr>
      <w:r>
        <w:t xml:space="preserve">This document summarises the full set of business structure and operational options explored for FitDesk — a mobile-first B2B SaaS platform targeting solo personal trainers in Singapore and Southeast Asia. The context is specific: FitDesk's founder is an Indian citizen holding Non-Resident Indian (NRI) status, resident in Singapore on an Employment Pass (EP) sponsored by a current employer, and is a shareholder in an existing Singapore Pte Ltd (Bramkrit).</w:t>
      </w:r>
    </w:p>
    <w:p>
      <w:pPr>
        <w:spacing w:after="120"/>
      </w:pPr>
      <w:r>
        <w:t xml:space="preserve">The analysis covers five candidate jurisdictions (Singapore, India, Estonia, Dubai, Hong Kong), three structural models (new entity, existing entity, passive shareholding), and the binding constraint that shapes them all — Singapore's EP/MOM rules governing side-business activity.</w:t>
      </w:r>
    </w:p>
    <w:p>
      <w:pPr>
        <w:spacing w:after="80"/>
      </w:pPr>
      <w:r>
        <w:t xml:space="preserve"/>
      </w:r>
    </w:p>
    <w:p>
      <w:pPr>
        <w:spacing w:after="120"/>
      </w:pPr>
      <w:r>
        <w:rPr>
          <w:b/>
          <w:bCs/>
        </w:rPr>
        <w:t xml:space="preserve">Key decisions recorded:</w:t>
      </w:r>
    </w:p>
    <w:p>
      <w:pPr>
        <w:pStyle w:val="ListParagraph"/>
        <w:numPr>
          <w:ilvl w:val="0"/>
          <w:numId w:val="2"/>
        </w:numPr>
        <w:spacing w:after="80"/>
      </w:pPr>
      <w:r>
        <w:t xml:space="preserve">FitDesk will be operated through Bramkrit Pte Ltd (existing Singapore entity).</w:t>
      </w:r>
    </w:p>
    <w:p>
      <w:pPr>
        <w:pStyle w:val="ListParagraph"/>
        <w:numPr>
          <w:ilvl w:val="0"/>
          <w:numId w:val="2"/>
        </w:numPr>
        <w:spacing w:after="80"/>
      </w:pPr>
      <w:r>
        <w:t xml:space="preserve">Founder's role: owner and shareholder; not day-to-day operator.</w:t>
      </w:r>
    </w:p>
    <w:p>
      <w:pPr>
        <w:pStyle w:val="ListParagraph"/>
        <w:numPr>
          <w:ilvl w:val="0"/>
          <w:numId w:val="2"/>
        </w:numPr>
        <w:spacing w:after="80"/>
      </w:pPr>
      <w:r>
        <w:t xml:space="preserve">WhatsApp OTP login dropped; email magic-link login adopted for beta — removes Meta business verification blocker.</w:t>
      </w:r>
    </w:p>
    <w:p>
      <w:pPr>
        <w:pStyle w:val="ListParagraph"/>
        <w:numPr>
          <w:ilvl w:val="0"/>
          <w:numId w:val="2"/>
        </w:numPr>
        <w:spacing w:after="80"/>
      </w:pPr>
      <w:r>
        <w:t xml:space="preserve">Target exit trigger: at approximately SGD 200K ARR, extract FitDesk into a new entity, quit EP employment, apply for EntrePass.</w:t>
      </w:r>
    </w:p>
    <w:p>
      <w:pPr>
        <w:pStyle w:val="ListParagraph"/>
        <w:numPr>
          <w:ilvl w:val="0"/>
          <w:numId w:val="2"/>
        </w:numPr>
        <w:spacing w:after="80"/>
      </w:pPr>
      <w:r>
        <w:t xml:space="preserve">Commercial launch deferred until operator arrangement and EP/MOM position are clarified; free beta proceeds in the meantime.</w:t>
      </w:r>
    </w:p>
    <w:p>
      <w:pPr>
        <w:spacing w:after="80"/>
      </w:pPr>
      <w:r>
        <w:t xml:space="preserve"/>
      </w:r>
    </w:p>
    <w:p>
      <w:pPr>
        <w:spacing w:after="120"/>
      </w:pPr>
      <w:r>
        <w:rPr>
          <w:b/>
          <w:bCs/>
        </w:rPr>
        <w:t xml:space="preserve">Central insight:</w:t>
      </w:r>
    </w:p>
    <w:p>
      <w:pPr>
        <w:spacing w:after="120"/>
      </w:pPr>
      <w:r>
        <w:t xml:space="preserve">The binding constraint is not entity structure — it is the founder's EP status. No corporate structure (domestic or offshore) removes MOM's rules about EP holders actively operating businesses. Every alternative jurisdiction (Estonia, Dubai, Hong Kong, India) runs into the same wall through different mechanics. The right question is not "which country?" but "will the founder be operator or owner?" — the answer determines which structures are available.</w:t>
      </w:r>
    </w:p>
    <w:p>
      <w:r>
        <w:br w:type="page"/>
      </w:r>
    </w:p>
    <w:p>
      <w:pPr>
        <w:pStyle w:val="Heading1"/>
        <w:spacing w:after="200" w:before="360"/>
      </w:pPr>
      <w:r>
        <w:t xml:space="preserve">1. The Founder's Situation</w:t>
      </w:r>
    </w:p>
    <w:p>
      <w:pPr>
        <w:spacing w:after="120"/>
      </w:pPr>
      <w:r>
        <w:t xml:space="preserve">Understanding the specific constraints shaping available options.</w:t>
      </w:r>
    </w:p>
    <w:p>
      <w:pPr>
        <w:pStyle w:val="Heading2"/>
        <w:spacing w:after="160" w:before="280"/>
      </w:pPr>
      <w:r>
        <w:t xml:space="preserve">1.1 Personal status</w:t>
      </w:r>
    </w:p>
    <w:p>
      <w:pPr>
        <w:pStyle w:val="ListParagraph"/>
        <w:numPr>
          <w:ilvl w:val="0"/>
          <w:numId w:val="2"/>
        </w:numPr>
        <w:spacing w:after="80"/>
      </w:pPr>
      <w:r>
        <w:rPr>
          <w:b/>
          <w:bCs/>
        </w:rPr>
        <w:t xml:space="preserve">Citizenship: </w:t>
      </w:r>
      <w:r>
        <w:t xml:space="preserve">Indian (passport).</w:t>
      </w:r>
    </w:p>
    <w:p>
      <w:pPr>
        <w:pStyle w:val="ListParagraph"/>
        <w:numPr>
          <w:ilvl w:val="0"/>
          <w:numId w:val="2"/>
        </w:numPr>
        <w:spacing w:after="80"/>
      </w:pPr>
      <w:r>
        <w:rPr>
          <w:b/>
          <w:bCs/>
        </w:rPr>
        <w:t xml:space="preserve">Residency: </w:t>
      </w:r>
      <w:r>
        <w:t xml:space="preserve">Singapore, on Employment Pass (EP) sponsored by current employer.</w:t>
      </w:r>
    </w:p>
    <w:p>
      <w:pPr>
        <w:pStyle w:val="ListParagraph"/>
        <w:numPr>
          <w:ilvl w:val="0"/>
          <w:numId w:val="2"/>
        </w:numPr>
        <w:spacing w:after="80"/>
      </w:pPr>
      <w:r>
        <w:rPr>
          <w:b/>
          <w:bCs/>
        </w:rPr>
        <w:t xml:space="preserve">Singapore tax residency: </w:t>
      </w:r>
      <w:r>
        <w:t xml:space="preserve">Yes (EP holder residing in Singapore long enough to meet the 183-day threshold).</w:t>
      </w:r>
    </w:p>
    <w:p>
      <w:pPr>
        <w:pStyle w:val="ListParagraph"/>
        <w:numPr>
          <w:ilvl w:val="0"/>
          <w:numId w:val="2"/>
        </w:numPr>
        <w:spacing w:after="80"/>
      </w:pPr>
      <w:r>
        <w:rPr>
          <w:b/>
          <w:bCs/>
        </w:rPr>
        <w:t xml:space="preserve">Indian tax status: </w:t>
      </w:r>
      <w:r>
        <w:t xml:space="preserve">Non-Resident Indian (NRI) — foreign-source income is not taxed in India.</w:t>
      </w:r>
    </w:p>
    <w:p>
      <w:pPr>
        <w:pStyle w:val="ListParagraph"/>
        <w:numPr>
          <w:ilvl w:val="0"/>
          <w:numId w:val="2"/>
        </w:numPr>
        <w:spacing w:after="80"/>
      </w:pPr>
      <w:r>
        <w:rPr>
          <w:b/>
          <w:bCs/>
        </w:rPr>
        <w:t xml:space="preserve">Existing corporate interest: </w:t>
      </w:r>
      <w:r>
        <w:t xml:space="preserve">Shareholder in Bramkrit Pte Ltd (Singapore), a company with multiple shareholders and a Singaporean director.</w:t>
      </w:r>
    </w:p>
    <w:p>
      <w:pPr>
        <w:spacing w:after="80"/>
      </w:pPr>
      <w:r>
        <w:t xml:space="preserve"/>
      </w:r>
    </w:p>
    <w:p>
      <w:pPr>
        <w:pStyle w:val="Heading2"/>
        <w:spacing w:after="160" w:before="280"/>
      </w:pPr>
      <w:r>
        <w:t xml:space="preserve">1.2 Regulatory constraints from EP status</w:t>
      </w:r>
    </w:p>
    <w:p>
      <w:pPr>
        <w:spacing w:after="120"/>
      </w:pPr>
      <w:r>
        <w:t xml:space="preserve">The Employment Pass grants the right to work for a specific sponsoring employer. EP holders cannot:</w:t>
      </w:r>
    </w:p>
    <w:p>
      <w:pPr>
        <w:pStyle w:val="ListParagraph"/>
        <w:numPr>
          <w:ilvl w:val="0"/>
          <w:numId w:val="2"/>
        </w:numPr>
        <w:spacing w:after="80"/>
      </w:pPr>
      <w:r>
        <w:t xml:space="preserve">Engage in other paid employment without a Letter of Consent (LOC) from MOM.</w:t>
      </w:r>
    </w:p>
    <w:p>
      <w:pPr>
        <w:pStyle w:val="ListParagraph"/>
        <w:numPr>
          <w:ilvl w:val="0"/>
          <w:numId w:val="2"/>
        </w:numPr>
        <w:spacing w:after="80"/>
      </w:pPr>
      <w:r>
        <w:t xml:space="preserve">Run a sole proprietorship or personally own a business generating Singapore income without LOC.</w:t>
      </w:r>
    </w:p>
    <w:p>
      <w:pPr>
        <w:pStyle w:val="ListParagraph"/>
        <w:numPr>
          <w:ilvl w:val="0"/>
          <w:numId w:val="2"/>
        </w:numPr>
        <w:spacing w:after="80"/>
      </w:pPr>
      <w:r>
        <w:t xml:space="preserve">Act as an active director of another Singapore company without MOM's knowledge and, in most cases, consent.</w:t>
      </w:r>
    </w:p>
    <w:p>
      <w:pPr>
        <w:spacing w:after="80"/>
      </w:pPr>
      <w:r>
        <w:t xml:space="preserve"/>
      </w:r>
    </w:p>
    <w:p>
      <w:pPr>
        <w:spacing w:after="120"/>
      </w:pPr>
      <w:r>
        <w:t xml:space="preserve">MOM applies a substance-over-form test: the regulator assesses what the EP holder actually does with their time, not what appears on paperwork. A foreign entity with an EP holder genuinely running it from Singapore is treated as that person "running a business from Singapore," regardless of incorporation flag.</w:t>
      </w:r>
    </w:p>
    <w:p>
      <w:pPr>
        <w:spacing w:after="80"/>
      </w:pPr>
      <w:r>
        <w:t xml:space="preserve"/>
      </w:r>
    </w:p>
    <w:p>
      <w:pPr>
        <w:pStyle w:val="Heading2"/>
        <w:spacing w:after="160" w:before="280"/>
      </w:pPr>
      <w:r>
        <w:t xml:space="preserve">1.3 Pathways that resolve the EP constraint</w:t>
      </w:r>
    </w:p>
    <w:p>
      <w:pPr>
        <w:pStyle w:val="ListParagraph"/>
        <w:numPr>
          <w:ilvl w:val="0"/>
          <w:numId w:val="2"/>
        </w:numPr>
        <w:spacing w:after="80"/>
      </w:pPr>
      <w:r>
        <w:rPr>
          <w:b/>
          <w:bCs/>
        </w:rPr>
        <w:t xml:space="preserve">Letter of Consent (LOC) from MOM: </w:t>
      </w:r>
      <w:r>
        <w:t xml:space="preserve">authorises the EP holder to run a side business. Requires employer consent. Processing ~3 weeks. Free to apply.</w:t>
      </w:r>
    </w:p>
    <w:p>
      <w:pPr>
        <w:pStyle w:val="ListParagraph"/>
        <w:numPr>
          <w:ilvl w:val="0"/>
          <w:numId w:val="2"/>
        </w:numPr>
        <w:spacing w:after="80"/>
      </w:pPr>
      <w:r>
        <w:rPr>
          <w:b/>
          <w:bCs/>
        </w:rPr>
        <w:t xml:space="preserve">Singapore Permanent Residence (PR): </w:t>
      </w:r>
      <w:r>
        <w:t xml:space="preserve">removes EP-based restrictions on business activity. Timeline variable (1–3 years typical).</w:t>
      </w:r>
    </w:p>
    <w:p>
      <w:pPr>
        <w:pStyle w:val="ListParagraph"/>
        <w:numPr>
          <w:ilvl w:val="0"/>
          <w:numId w:val="2"/>
        </w:numPr>
        <w:spacing w:after="80"/>
      </w:pPr>
      <w:r>
        <w:rPr>
          <w:b/>
          <w:bCs/>
        </w:rPr>
        <w:t xml:space="preserve">EntrePass: </w:t>
      </w:r>
      <w:r>
        <w:t xml:space="preserve">work pass specifically for foreign founders running qualifying Singapore businesses. Requires business to meet specific criteria (paid-up capital, innovative nature, sometimes venture funding or revenue).</w:t>
      </w:r>
    </w:p>
    <w:p>
      <w:pPr>
        <w:pStyle w:val="ListParagraph"/>
        <w:numPr>
          <w:ilvl w:val="0"/>
          <w:numId w:val="2"/>
        </w:numPr>
        <w:spacing w:after="80"/>
      </w:pPr>
      <w:r>
        <w:rPr>
          <w:b/>
          <w:bCs/>
        </w:rPr>
        <w:t xml:space="preserve">Passive shareholding: </w:t>
      </w:r>
      <w:r>
        <w:t xml:space="preserve">EP holder holds shares in a company that someone else operates day-to-day. Dividends are passive income, not active business activity. Legal as long as operational substance is genuine.</w:t>
      </w:r>
    </w:p>
    <w:p>
      <w:pPr>
        <w:pStyle w:val="ListParagraph"/>
        <w:numPr>
          <w:ilvl w:val="0"/>
          <w:numId w:val="2"/>
        </w:numPr>
        <w:spacing w:after="80"/>
      </w:pPr>
      <w:r>
        <w:rPr>
          <w:b/>
          <w:bCs/>
        </w:rPr>
        <w:t xml:space="preserve">Relocation: </w:t>
      </w:r>
      <w:r>
        <w:t xml:space="preserve">moving to a jurisdiction where the founder has the legal right to operate (India, or country of future residence).</w:t>
      </w:r>
    </w:p>
    <w:p>
      <w:r>
        <w:br w:type="page"/>
      </w:r>
    </w:p>
    <w:p>
      <w:pPr>
        <w:pStyle w:val="Heading1"/>
        <w:spacing w:after="200" w:before="360"/>
      </w:pPr>
      <w:r>
        <w:t xml:space="preserve">2. Jurisdictions Considered</w:t>
      </w:r>
    </w:p>
    <w:p>
      <w:pPr>
        <w:spacing w:after="120"/>
      </w:pPr>
      <w:r>
        <w:t xml:space="preserve">Five candidate jurisdictions were evaluated against the founder's specific situation. Each is assessed on setup cost, ongoing compliance, banking access, tax treatment, and whether it resolves the EP constraint.</w:t>
      </w:r>
    </w:p>
    <w:p>
      <w:pPr>
        <w:pStyle w:val="Heading2"/>
        <w:spacing w:after="160" w:before="280"/>
      </w:pPr>
      <w:r>
        <w:t xml:space="preserve">2.1 Singapore (new Pte Ltd or existing Bramkrit)</w:t>
      </w:r>
    </w:p>
    <w:p>
      <w:pPr>
        <w:spacing w:after="120"/>
      </w:pPr>
      <w:r>
        <w:t xml:space="preserve">Singapore is the default jurisdiction — the founder lives here, the target market (solo PTs in SEA) is anchored here, and Singapore's corporate tax regime is genuinely favourable for small companies.</w:t>
      </w:r>
    </w:p>
    <w:p>
      <w:pPr>
        <w:spacing w:after="80"/>
      </w:pPr>
      <w:r>
        <w:t xml:space="preserve"/>
      </w:r>
    </w:p>
    <w:p>
      <w:pPr>
        <w:spacing w:after="120"/>
      </w:pPr>
      <w:r>
        <w:rPr>
          <w:b/>
          <w:bCs/>
        </w:rPr>
        <w:t xml:space="preserve">Setup and ongoing costs:</w:t>
      </w:r>
    </w:p>
    <w:p>
      <w:pPr>
        <w:pStyle w:val="ListParagraph"/>
        <w:numPr>
          <w:ilvl w:val="0"/>
          <w:numId w:val="2"/>
        </w:numPr>
        <w:spacing w:after="80"/>
      </w:pPr>
      <w:r>
        <w:t xml:space="preserve">New Pte Ltd: SGD 500–1,500 setup via services like Sleek, Osome, Lanturn. SGD 1,500–3,000/year ongoing (nominee director, company secretary, annual filings).</w:t>
      </w:r>
    </w:p>
    <w:p>
      <w:pPr>
        <w:pStyle w:val="ListParagraph"/>
        <w:numPr>
          <w:ilvl w:val="0"/>
          <w:numId w:val="2"/>
        </w:numPr>
        <w:spacing w:after="80"/>
      </w:pPr>
      <w:r>
        <w:t xml:space="preserve">Existing Bramkrit: no new setup cost. Ongoing compliance already in place.</w:t>
      </w:r>
    </w:p>
    <w:p>
      <w:pPr>
        <w:spacing w:after="80"/>
      </w:pPr>
      <w:r>
        <w:t xml:space="preserve"/>
      </w:r>
    </w:p>
    <w:p>
      <w:pPr>
        <w:spacing w:after="120"/>
      </w:pPr>
      <w:r>
        <w:rPr>
          <w:b/>
          <w:bCs/>
        </w:rPr>
        <w:t xml:space="preserve">Tax treatment:</w:t>
      </w:r>
    </w:p>
    <w:p>
      <w:pPr>
        <w:pStyle w:val="ListParagraph"/>
        <w:numPr>
          <w:ilvl w:val="0"/>
          <w:numId w:val="2"/>
        </w:numPr>
        <w:spacing w:after="80"/>
      </w:pPr>
      <w:r>
        <w:t xml:space="preserve">Corporate tax: headline 17%. New startup tax exemption reduces effective rate to roughly 8–10% for first three years on profits under SGD 200K.</w:t>
      </w:r>
    </w:p>
    <w:p>
      <w:pPr>
        <w:pStyle w:val="ListParagraph"/>
        <w:numPr>
          <w:ilvl w:val="0"/>
          <w:numId w:val="2"/>
        </w:numPr>
        <w:spacing w:after="80"/>
      </w:pPr>
      <w:r>
        <w:t xml:space="preserve">Dividends: 0% personal tax to shareholders under Singapore's single-tier corporate tax system.</w:t>
      </w:r>
    </w:p>
    <w:p>
      <w:pPr>
        <w:pStyle w:val="ListParagraph"/>
        <w:numPr>
          <w:ilvl w:val="0"/>
          <w:numId w:val="2"/>
        </w:numPr>
        <w:spacing w:after="80"/>
      </w:pPr>
      <w:r>
        <w:t xml:space="preserve">GST: only mandatory above SGD 1M annual turnover.</w:t>
      </w:r>
    </w:p>
    <w:p>
      <w:pPr>
        <w:spacing w:after="80"/>
      </w:pPr>
      <w:r>
        <w:t xml:space="preserve"/>
      </w:r>
    </w:p>
    <w:p>
      <w:pPr>
        <w:spacing w:after="120"/>
      </w:pPr>
      <w:r>
        <w:rPr>
          <w:b/>
          <w:bCs/>
        </w:rPr>
        <w:t xml:space="preserve">Banking:</w:t>
      </w:r>
    </w:p>
    <w:p>
      <w:pPr>
        <w:pStyle w:val="ListParagraph"/>
        <w:numPr>
          <w:ilvl w:val="0"/>
          <w:numId w:val="2"/>
        </w:numPr>
        <w:spacing w:after="80"/>
      </w:pPr>
      <w:r>
        <w:t xml:space="preserve">Easy for Singapore Pte Ltds at DBS, OCBC, UOB. Alternative: Aspire, Wise Business for faster onboarding.</w:t>
      </w:r>
    </w:p>
    <w:p>
      <w:pPr>
        <w:spacing w:after="80"/>
      </w:pPr>
      <w:r>
        <w:t xml:space="preserve"/>
      </w:r>
    </w:p>
    <w:p>
      <w:pPr>
        <w:spacing w:after="120"/>
      </w:pPr>
      <w:r>
        <w:rPr>
          <w:b/>
          <w:bCs/>
        </w:rPr>
        <w:t xml:space="preserve">Verdict:</w:t>
      </w:r>
    </w:p>
    <w:p>
      <w:pPr>
        <w:pStyle w:val="ListParagraph"/>
        <w:numPr>
          <w:ilvl w:val="0"/>
          <w:numId w:val="2"/>
        </w:numPr>
        <w:spacing w:after="80"/>
      </w:pPr>
      <w:r>
        <w:t xml:space="preserve">Tax: best among all options for the founder's scale.</w:t>
      </w:r>
    </w:p>
    <w:p>
      <w:pPr>
        <w:pStyle w:val="ListParagraph"/>
        <w:numPr>
          <w:ilvl w:val="0"/>
          <w:numId w:val="2"/>
        </w:numPr>
        <w:spacing w:after="80"/>
      </w:pPr>
      <w:r>
        <w:t xml:space="preserve">EP constraint: not resolved by entity alone — requires LOC, passive shareholding, PR, or EntrePass.</w:t>
      </w:r>
    </w:p>
    <w:p>
      <w:pPr>
        <w:pStyle w:val="ListParagraph"/>
        <w:numPr>
          <w:ilvl w:val="0"/>
          <w:numId w:val="2"/>
        </w:numPr>
        <w:spacing w:after="80"/>
      </w:pPr>
      <w:r>
        <w:t xml:space="preserve">Credibility: highest — ACRA-registered entities are the standard for SEA B2B SaaS.</w:t>
      </w:r>
    </w:p>
    <w:p>
      <w:pPr>
        <w:spacing w:after="80"/>
      </w:pPr>
      <w:r>
        <w:t xml:space="preserve"/>
      </w:r>
    </w:p>
    <w:p>
      <w:pPr>
        <w:pStyle w:val="Heading2"/>
        <w:spacing w:after="160" w:before="280"/>
      </w:pPr>
      <w:r>
        <w:t xml:space="preserve">2.2 India (Indian Pvt Ltd or sole proprietorship)</w:t>
      </w:r>
    </w:p>
    <w:p>
      <w:pPr>
        <w:spacing w:after="120"/>
      </w:pPr>
      <w:r>
        <w:t xml:space="preserve">Considered because the founder is an Indian citizen with NRI status, potentially simplifying compliance.</w:t>
      </w:r>
    </w:p>
    <w:p>
      <w:pPr>
        <w:spacing w:after="80"/>
      </w:pPr>
      <w:r>
        <w:t xml:space="preserve"/>
      </w:r>
    </w:p>
    <w:p>
      <w:pPr>
        <w:spacing w:after="120"/>
      </w:pPr>
      <w:r>
        <w:rPr>
          <w:b/>
          <w:bCs/>
        </w:rPr>
        <w:t xml:space="preserve">Setup and ongoing costs:</w:t>
      </w:r>
    </w:p>
    <w:p>
      <w:pPr>
        <w:pStyle w:val="ListParagraph"/>
        <w:numPr>
          <w:ilvl w:val="0"/>
          <w:numId w:val="2"/>
        </w:numPr>
        <w:spacing w:after="80"/>
      </w:pPr>
      <w:r>
        <w:t xml:space="preserve">Indian Pvt Ltd: INR 15,000–30,000 setup. INR 50,000–150,000/year ongoing (compliance, CA, ROC filings, GST if applicable).</w:t>
      </w:r>
    </w:p>
    <w:p>
      <w:pPr>
        <w:pStyle w:val="ListParagraph"/>
        <w:numPr>
          <w:ilvl w:val="0"/>
          <w:numId w:val="2"/>
        </w:numPr>
        <w:spacing w:after="80"/>
      </w:pPr>
      <w:r>
        <w:t xml:space="preserve">Indian sole proprietorship: essentially free to start under Indian citizen's own name. Requires shop establishment registration (INR 1,000–5,000) and current bank account.</w:t>
      </w:r>
    </w:p>
    <w:p>
      <w:pPr>
        <w:spacing w:after="80"/>
      </w:pPr>
      <w:r>
        <w:t xml:space="preserve"/>
      </w:r>
    </w:p>
    <w:p>
      <w:pPr>
        <w:spacing w:after="120"/>
      </w:pPr>
      <w:r>
        <w:rPr>
          <w:b/>
          <w:bCs/>
        </w:rPr>
        <w:t xml:space="preserve">Tax treatment:</w:t>
      </w:r>
    </w:p>
    <w:p>
      <w:pPr>
        <w:pStyle w:val="ListParagraph"/>
        <w:numPr>
          <w:ilvl w:val="0"/>
          <w:numId w:val="2"/>
        </w:numPr>
        <w:spacing w:after="80"/>
      </w:pPr>
      <w:r>
        <w:t xml:space="preserve">Indian Pvt Ltd corporate tax: ~25% on profits.</w:t>
      </w:r>
    </w:p>
    <w:p>
      <w:pPr>
        <w:pStyle w:val="ListParagraph"/>
        <w:numPr>
          <w:ilvl w:val="0"/>
          <w:numId w:val="2"/>
        </w:numPr>
        <w:spacing w:after="80"/>
      </w:pPr>
      <w:r>
        <w:t xml:space="preserve">Dividends to NRI: 10% withholding under India-Singapore DTAA.</w:t>
      </w:r>
    </w:p>
    <w:p>
      <w:pPr>
        <w:pStyle w:val="ListParagraph"/>
        <w:numPr>
          <w:ilvl w:val="0"/>
          <w:numId w:val="2"/>
        </w:numPr>
        <w:spacing w:after="80"/>
      </w:pPr>
      <w:r>
        <w:t xml:space="preserve">Sole proprietorship: taxed under ITR-3 at Indian personal slabs, or under Section 44ADA presumptive scheme (50% of revenue declared as income) for SaaS.</w:t>
      </w:r>
    </w:p>
    <w:p>
      <w:pPr>
        <w:pStyle w:val="ListParagraph"/>
        <w:numPr>
          <w:ilvl w:val="0"/>
          <w:numId w:val="2"/>
        </w:numPr>
        <w:spacing w:after="80"/>
      </w:pPr>
      <w:r>
        <w:t xml:space="preserve">NRI status: Indian-sourced income taxed in India; foreign-sourced income not taxed in India.</w:t>
      </w:r>
    </w:p>
    <w:p>
      <w:pPr>
        <w:spacing w:after="80"/>
      </w:pPr>
      <w:r>
        <w:t xml:space="preserve"/>
      </w:r>
    </w:p>
    <w:p>
      <w:pPr>
        <w:spacing w:after="120"/>
      </w:pPr>
      <w:r>
        <w:rPr>
          <w:b/>
          <w:bCs/>
        </w:rPr>
        <w:t xml:space="preserve">Banking:</w:t>
      </w:r>
    </w:p>
    <w:p>
      <w:pPr>
        <w:pStyle w:val="ListParagraph"/>
        <w:numPr>
          <w:ilvl w:val="0"/>
          <w:numId w:val="2"/>
        </w:numPr>
        <w:spacing w:after="80"/>
      </w:pPr>
      <w:r>
        <w:t xml:space="preserve">Indian banks open current accounts for Pvt Ltds and sole props straightforwardly.</w:t>
      </w:r>
    </w:p>
    <w:p>
      <w:pPr>
        <w:pStyle w:val="ListParagraph"/>
        <w:numPr>
          <w:ilvl w:val="0"/>
          <w:numId w:val="2"/>
        </w:numPr>
        <w:spacing w:after="80"/>
      </w:pPr>
      <w:r>
        <w:t xml:space="preserve">Singapore bank account for an Indian company: technically possible but genuinely difficult — minimum deposits SGD 30–50K, requires physical presence, 2–6 month process, rejection common for small foreign-incorporated companies.</w:t>
      </w:r>
    </w:p>
    <w:p>
      <w:pPr>
        <w:spacing w:after="80"/>
      </w:pPr>
      <w:r>
        <w:t xml:space="preserve"/>
      </w:r>
    </w:p>
    <w:p>
      <w:pPr>
        <w:spacing w:after="120"/>
      </w:pPr>
      <w:r>
        <w:rPr>
          <w:b/>
          <w:bCs/>
        </w:rPr>
        <w:t xml:space="preserve">FEMA complications:</w:t>
      </w:r>
    </w:p>
    <w:p>
      <w:pPr>
        <w:pStyle w:val="ListParagraph"/>
        <w:numPr>
          <w:ilvl w:val="0"/>
          <w:numId w:val="2"/>
        </w:numPr>
        <w:spacing w:after="80"/>
      </w:pPr>
      <w:r>
        <w:t xml:space="preserve">Cross-border revenue from Singapore clients to Indian company triggers FEMA compliance: FIRC certificates, potential Software Export Scheme registration, RBI reporting, transfer pricing documentation.</w:t>
      </w:r>
    </w:p>
    <w:p>
      <w:pPr>
        <w:pStyle w:val="ListParagraph"/>
        <w:numPr>
          <w:ilvl w:val="0"/>
          <w:numId w:val="2"/>
        </w:numPr>
        <w:spacing w:after="80"/>
      </w:pPr>
      <w:r>
        <w:t xml:space="preserve">Annual compliance burden: INR 50,000–150,000 on top of basic corporate compliance.</w:t>
      </w:r>
    </w:p>
    <w:p>
      <w:pPr>
        <w:spacing w:after="80"/>
      </w:pPr>
      <w:r>
        <w:t xml:space="preserve"/>
      </w:r>
    </w:p>
    <w:p>
      <w:pPr>
        <w:spacing w:after="120"/>
      </w:pPr>
      <w:r>
        <w:rPr>
          <w:b/>
          <w:bCs/>
        </w:rPr>
        <w:t xml:space="preserve">Verdict:</w:t>
      </w:r>
    </w:p>
    <w:p>
      <w:pPr>
        <w:pStyle w:val="ListParagraph"/>
        <w:numPr>
          <w:ilvl w:val="0"/>
          <w:numId w:val="2"/>
        </w:numPr>
        <w:spacing w:after="80"/>
      </w:pPr>
      <w:r>
        <w:t xml:space="preserve">Works fully only if founder physically operates from India, not Singapore.</w:t>
      </w:r>
    </w:p>
    <w:p>
      <w:pPr>
        <w:pStyle w:val="ListParagraph"/>
        <w:numPr>
          <w:ilvl w:val="0"/>
          <w:numId w:val="2"/>
        </w:numPr>
        <w:spacing w:after="80"/>
      </w:pPr>
      <w:r>
        <w:t xml:space="preserve">As a structure controlled from Singapore: does not resolve EP constraint (founder still actively running a business from Singapore, just with Indian paperwork).</w:t>
      </w:r>
    </w:p>
    <w:p>
      <w:pPr>
        <w:pStyle w:val="ListParagraph"/>
        <w:numPr>
          <w:ilvl w:val="0"/>
          <w:numId w:val="2"/>
        </w:numPr>
        <w:spacing w:after="80"/>
      </w:pPr>
      <w:r>
        <w:t xml:space="preserve">Operational friction: FEMA compliance, Indian accounting, banking complexity, DTAA paperwork — high ongoing overhead.</w:t>
      </w:r>
    </w:p>
    <w:p>
      <w:pPr>
        <w:pStyle w:val="ListParagraph"/>
        <w:numPr>
          <w:ilvl w:val="0"/>
          <w:numId w:val="2"/>
        </w:numPr>
        <w:spacing w:after="80"/>
      </w:pPr>
      <w:r>
        <w:t xml:space="preserve">Rejected for FitDesk's situation: no clean alignment with founder's residence, market, or constraint set.</w:t>
      </w:r>
    </w:p>
    <w:p>
      <w:pPr>
        <w:spacing w:after="80"/>
      </w:pPr>
      <w:r>
        <w:t xml:space="preserve"/>
      </w:r>
    </w:p>
    <w:p>
      <w:pPr>
        <w:pStyle w:val="Heading2"/>
        <w:spacing w:after="160" w:before="280"/>
      </w:pPr>
      <w:r>
        <w:t xml:space="preserve">2.3 Estonia (e-Residency OÜ)</w:t>
      </w:r>
    </w:p>
    <w:p>
      <w:pPr>
        <w:spacing w:after="120"/>
      </w:pPr>
      <w:r>
        <w:t xml:space="preserve">Well-marketed digital nomad structure. Evaluated for tax efficiency claims.</w:t>
      </w:r>
    </w:p>
    <w:p>
      <w:pPr>
        <w:spacing w:after="80"/>
      </w:pPr>
      <w:r>
        <w:t xml:space="preserve"/>
      </w:r>
    </w:p>
    <w:p>
      <w:pPr>
        <w:spacing w:after="120"/>
      </w:pPr>
      <w:r>
        <w:rPr>
          <w:b/>
          <w:bCs/>
        </w:rPr>
        <w:t xml:space="preserve">Setup and ongoing costs:</w:t>
      </w:r>
    </w:p>
    <w:p>
      <w:pPr>
        <w:pStyle w:val="ListParagraph"/>
        <w:numPr>
          <w:ilvl w:val="0"/>
          <w:numId w:val="2"/>
        </w:numPr>
        <w:spacing w:after="80"/>
      </w:pPr>
      <w:r>
        <w:t xml:space="preserve">Setup: €100–300 one-time via service providers (Xolo, 1Office, LeapIN, Envoice).</w:t>
      </w:r>
    </w:p>
    <w:p>
      <w:pPr>
        <w:pStyle w:val="ListParagraph"/>
        <w:numPr>
          <w:ilvl w:val="0"/>
          <w:numId w:val="2"/>
        </w:numPr>
        <w:spacing w:after="80"/>
      </w:pPr>
      <w:r>
        <w:t xml:space="preserve">Ongoing: €50–500/month for accounting and compliance. Full year: SGD 3,000–6,000.</w:t>
      </w:r>
    </w:p>
    <w:p>
      <w:pPr>
        <w:spacing w:after="80"/>
      </w:pPr>
      <w:r>
        <w:t xml:space="preserve"/>
      </w:r>
    </w:p>
    <w:p>
      <w:pPr>
        <w:spacing w:after="120"/>
      </w:pPr>
      <w:r>
        <w:rPr>
          <w:b/>
          <w:bCs/>
        </w:rPr>
        <w:t xml:space="preserve">Tax treatment:</w:t>
      </w:r>
    </w:p>
    <w:p>
      <w:pPr>
        <w:pStyle w:val="ListParagraph"/>
        <w:numPr>
          <w:ilvl w:val="0"/>
          <w:numId w:val="2"/>
        </w:numPr>
        <w:spacing w:after="80"/>
      </w:pPr>
      <w:r>
        <w:t xml:space="preserve">Corporate tax: 0% on retained earnings — profits inside the company are not taxed.</w:t>
      </w:r>
    </w:p>
    <w:p>
      <w:pPr>
        <w:pStyle w:val="ListParagraph"/>
        <w:numPr>
          <w:ilvl w:val="0"/>
          <w:numId w:val="2"/>
        </w:numPr>
        <w:spacing w:after="80"/>
      </w:pPr>
      <w:r>
        <w:t xml:space="preserve">Dividends: 20% (actually 20/80 = 22% of gross) on distributions. 14% reduced rate possible for regular distributions, with 7% personal withholding (~21% effective).</w:t>
      </w:r>
    </w:p>
    <w:p>
      <w:pPr>
        <w:pStyle w:val="ListParagraph"/>
        <w:numPr>
          <w:ilvl w:val="0"/>
          <w:numId w:val="2"/>
        </w:numPr>
        <w:spacing w:after="80"/>
      </w:pPr>
      <w:r>
        <w:t xml:space="preserve">Salary to owner-employee: 33% social tax + 20% personal income tax — expensive, most founders avoid.</w:t>
      </w:r>
    </w:p>
    <w:p>
      <w:pPr>
        <w:spacing w:after="80"/>
      </w:pPr>
      <w:r>
        <w:t xml:space="preserve"/>
      </w:r>
    </w:p>
    <w:p>
      <w:pPr>
        <w:spacing w:after="120"/>
      </w:pPr>
      <w:r>
        <w:rPr>
          <w:b/>
          <w:bCs/>
        </w:rPr>
        <w:t xml:space="preserve">Singapore's view:</w:t>
      </w:r>
    </w:p>
    <w:p>
      <w:pPr>
        <w:pStyle w:val="ListParagraph"/>
        <w:numPr>
          <w:ilvl w:val="0"/>
          <w:numId w:val="2"/>
        </w:numPr>
        <w:spacing w:after="80"/>
      </w:pPr>
      <w:r>
        <w:t xml:space="preserve">Foreign dividend received by Singapore tax-resident individual: exempt if source jurisdiction has ≥15% headline corporate rate (Estonia qualifies).</w:t>
      </w:r>
    </w:p>
    <w:p>
      <w:pPr>
        <w:pStyle w:val="ListParagraph"/>
        <w:numPr>
          <w:ilvl w:val="0"/>
          <w:numId w:val="2"/>
        </w:numPr>
        <w:spacing w:after="80"/>
      </w:pPr>
      <w:r>
        <w:t xml:space="preserve">Place of Effective Management (POEM) doctrine: if the Estonian OÜ is actually managed from Singapore — which it would be if the founder is making decisions — IRAS can treat it as a Singapore tax resident and apply 17% Singapore corporate tax. The Estonian flag does not shield from this.</w:t>
      </w:r>
    </w:p>
    <w:p>
      <w:pPr>
        <w:spacing w:after="80"/>
      </w:pPr>
      <w:r>
        <w:t xml:space="preserve"/>
      </w:r>
    </w:p>
    <w:p>
      <w:pPr>
        <w:spacing w:after="120"/>
      </w:pPr>
      <w:r>
        <w:rPr>
          <w:b/>
          <w:bCs/>
        </w:rPr>
        <w:t xml:space="preserve">Banking:</w:t>
      </w:r>
    </w:p>
    <w:p>
      <w:pPr>
        <w:pStyle w:val="ListParagraph"/>
        <w:numPr>
          <w:ilvl w:val="0"/>
          <w:numId w:val="2"/>
        </w:numPr>
        <w:spacing w:after="80"/>
      </w:pPr>
      <w:r>
        <w:t xml:space="preserve">Estonian banks: increasingly difficult for non-resident OÜs.</w:t>
      </w:r>
    </w:p>
    <w:p>
      <w:pPr>
        <w:pStyle w:val="ListParagraph"/>
        <w:numPr>
          <w:ilvl w:val="0"/>
          <w:numId w:val="2"/>
        </w:numPr>
        <w:spacing w:after="80"/>
      </w:pPr>
      <w:r>
        <w:t xml:space="preserve">Practical default: Wise Business or Revolut Business. Functional but not full banking (no credit facilities, occasional account reviews).</w:t>
      </w:r>
    </w:p>
    <w:p>
      <w:pPr>
        <w:spacing w:after="80"/>
      </w:pPr>
      <w:r>
        <w:t xml:space="preserve"/>
      </w:r>
    </w:p>
    <w:p>
      <w:pPr>
        <w:spacing w:after="120"/>
      </w:pPr>
      <w:r>
        <w:rPr>
          <w:b/>
          <w:bCs/>
        </w:rPr>
        <w:t xml:space="preserve">Verdict:</w:t>
      </w:r>
    </w:p>
    <w:p>
      <w:pPr>
        <w:pStyle w:val="ListParagraph"/>
        <w:numPr>
          <w:ilvl w:val="0"/>
          <w:numId w:val="2"/>
        </w:numPr>
        <w:spacing w:after="80"/>
      </w:pPr>
      <w:r>
        <w:t xml:space="preserve">Tax: worse than Singapore at founder's scale (20% on distribution vs. Singapore's effective ~8–10% corporate + 0% dividend).</w:t>
      </w:r>
    </w:p>
    <w:p>
      <w:pPr>
        <w:pStyle w:val="ListParagraph"/>
        <w:numPr>
          <w:ilvl w:val="0"/>
          <w:numId w:val="2"/>
        </w:numPr>
        <w:spacing w:after="80"/>
      </w:pPr>
      <w:r>
        <w:t xml:space="preserve">EP constraint: not resolved. Founder still actively managing a business from Singapore.</w:t>
      </w:r>
    </w:p>
    <w:p>
      <w:pPr>
        <w:pStyle w:val="ListParagraph"/>
        <w:numPr>
          <w:ilvl w:val="0"/>
          <w:numId w:val="2"/>
        </w:numPr>
        <w:spacing w:after="80"/>
      </w:pPr>
      <w:r>
        <w:t xml:space="preserve">POEM risk: real. If IRAS claims Singapore tax residency, the 0% retained earnings benefit evaporates.</w:t>
      </w:r>
    </w:p>
    <w:p>
      <w:pPr>
        <w:pStyle w:val="ListParagraph"/>
        <w:numPr>
          <w:ilvl w:val="0"/>
          <w:numId w:val="2"/>
        </w:numPr>
        <w:spacing w:after="80"/>
      </w:pPr>
      <w:r>
        <w:t xml:space="preserve">Rejected for FitDesk's situation: no tax advantage, no constraint relief, added complexity.</w:t>
      </w:r>
    </w:p>
    <w:p>
      <w:pPr>
        <w:spacing w:after="80"/>
      </w:pPr>
      <w:r>
        <w:t xml:space="preserve"/>
      </w:r>
    </w:p>
    <w:p>
      <w:pPr>
        <w:pStyle w:val="Heading2"/>
        <w:spacing w:after="160" w:before="280"/>
      </w:pPr>
      <w:r>
        <w:t xml:space="preserve">2.4 Dubai (UAE free zone)</w:t>
      </w:r>
    </w:p>
    <w:p>
      <w:pPr>
        <w:spacing w:after="120"/>
      </w:pPr>
      <w:r>
        <w:t xml:space="preserve">Considered for "zero income tax" positioning.</w:t>
      </w:r>
    </w:p>
    <w:p>
      <w:pPr>
        <w:spacing w:after="80"/>
      </w:pPr>
      <w:r>
        <w:t xml:space="preserve"/>
      </w:r>
    </w:p>
    <w:p>
      <w:pPr>
        <w:spacing w:after="120"/>
      </w:pPr>
      <w:r>
        <w:rPr>
          <w:b/>
          <w:bCs/>
        </w:rPr>
        <w:t xml:space="preserve">Setup and ongoing costs:</w:t>
      </w:r>
    </w:p>
    <w:p>
      <w:pPr>
        <w:pStyle w:val="ListParagraph"/>
        <w:numPr>
          <w:ilvl w:val="0"/>
          <w:numId w:val="2"/>
        </w:numPr>
        <w:spacing w:after="80"/>
      </w:pPr>
      <w:r>
        <w:t xml:space="preserve">Setup: USD 3,000–8,000 (SGD 4,000–10,800) including license, registered office, visa processing.</w:t>
      </w:r>
    </w:p>
    <w:p>
      <w:pPr>
        <w:pStyle w:val="ListParagraph"/>
        <w:numPr>
          <w:ilvl w:val="0"/>
          <w:numId w:val="2"/>
        </w:numPr>
        <w:spacing w:after="80"/>
      </w:pPr>
      <w:r>
        <w:t xml:space="preserve">Ongoing: USD 2,000–5,000/year for license renewal, registered agent, compliance.</w:t>
      </w:r>
    </w:p>
    <w:p>
      <w:pPr>
        <w:spacing w:after="80"/>
      </w:pPr>
      <w:r>
        <w:t xml:space="preserve"/>
      </w:r>
    </w:p>
    <w:p>
      <w:pPr>
        <w:spacing w:after="120"/>
      </w:pPr>
      <w:r>
        <w:rPr>
          <w:b/>
          <w:bCs/>
        </w:rPr>
        <w:t xml:space="preserve">Tax treatment:</w:t>
      </w:r>
    </w:p>
    <w:p>
      <w:pPr>
        <w:pStyle w:val="ListParagraph"/>
        <w:numPr>
          <w:ilvl w:val="0"/>
          <w:numId w:val="2"/>
        </w:numPr>
        <w:spacing w:after="80"/>
      </w:pPr>
      <w:r>
        <w:t xml:space="preserve">Personal income tax: 0% in UAE.</w:t>
      </w:r>
    </w:p>
    <w:p>
      <w:pPr>
        <w:pStyle w:val="ListParagraph"/>
        <w:numPr>
          <w:ilvl w:val="0"/>
          <w:numId w:val="2"/>
        </w:numPr>
        <w:spacing w:after="80"/>
      </w:pPr>
      <w:r>
        <w:t xml:space="preserve">Corporate tax: 9% above AED 375K profit (~SGD 140K). 0% below that threshold.</w:t>
      </w:r>
    </w:p>
    <w:p>
      <w:pPr>
        <w:pStyle w:val="ListParagraph"/>
        <w:numPr>
          <w:ilvl w:val="0"/>
          <w:numId w:val="2"/>
        </w:numPr>
        <w:spacing w:after="80"/>
      </w:pPr>
      <w:r>
        <w:t xml:space="preserve">Applies only if the entity is genuinely UAE tax resident with substance in UAE.</w:t>
      </w:r>
    </w:p>
    <w:p>
      <w:pPr>
        <w:spacing w:after="80"/>
      </w:pPr>
      <w:r>
        <w:t xml:space="preserve"/>
      </w:r>
    </w:p>
    <w:p>
      <w:pPr>
        <w:spacing w:after="120"/>
      </w:pPr>
      <w:r>
        <w:rPr>
          <w:b/>
          <w:bCs/>
        </w:rPr>
        <w:t xml:space="preserve">Banking:</w:t>
      </w:r>
    </w:p>
    <w:p>
      <w:pPr>
        <w:pStyle w:val="ListParagraph"/>
        <w:numPr>
          <w:ilvl w:val="0"/>
          <w:numId w:val="2"/>
        </w:numPr>
        <w:spacing w:after="80"/>
      </w:pPr>
      <w:r>
        <w:t xml:space="preserve">UAE banks (Emirates NBD, ADCB, Mashreq): tightened significantly post-2020. Account opening 2–6 months, frequent rejections for non-resident-owned entities without UAE substance.</w:t>
      </w:r>
    </w:p>
    <w:p>
      <w:pPr>
        <w:pStyle w:val="ListParagraph"/>
        <w:numPr>
          <w:ilvl w:val="0"/>
          <w:numId w:val="2"/>
        </w:numPr>
        <w:spacing w:after="80"/>
      </w:pPr>
      <w:r>
        <w:t xml:space="preserve">Requires at least one physical visit to Dubai for KYC.</w:t>
      </w:r>
    </w:p>
    <w:p>
      <w:pPr>
        <w:spacing w:after="80"/>
      </w:pPr>
      <w:r>
        <w:t xml:space="preserve"/>
      </w:r>
    </w:p>
    <w:p>
      <w:pPr>
        <w:spacing w:after="120"/>
      </w:pPr>
      <w:r>
        <w:rPr>
          <w:b/>
          <w:bCs/>
        </w:rPr>
        <w:t xml:space="preserve">Singapore's view:</w:t>
      </w:r>
    </w:p>
    <w:p>
      <w:pPr>
        <w:pStyle w:val="ListParagraph"/>
        <w:numPr>
          <w:ilvl w:val="0"/>
          <w:numId w:val="2"/>
        </w:numPr>
        <w:spacing w:after="80"/>
      </w:pPr>
      <w:r>
        <w:t xml:space="preserve">Same POEM issue as Estonia. A UAE entity run by a Singapore-resident founder is probably treated as Singapore tax resident by IRAS.</w:t>
      </w:r>
    </w:p>
    <w:p>
      <w:pPr>
        <w:spacing w:after="80"/>
      </w:pPr>
      <w:r>
        <w:t xml:space="preserve"/>
      </w:r>
    </w:p>
    <w:p>
      <w:pPr>
        <w:spacing w:after="120"/>
      </w:pPr>
      <w:r>
        <w:rPr>
          <w:b/>
          <w:bCs/>
        </w:rPr>
        <w:t xml:space="preserve">Residence requirement considerations:</w:t>
      </w:r>
    </w:p>
    <w:p>
      <w:pPr>
        <w:pStyle w:val="ListParagraph"/>
        <w:numPr>
          <w:ilvl w:val="0"/>
          <w:numId w:val="2"/>
        </w:numPr>
        <w:spacing w:after="80"/>
      </w:pPr>
      <w:r>
        <w:t xml:space="preserve">Some free zones require founder to take UAE residence visa and visit annually (5+ days) to maintain residency status.</w:t>
      </w:r>
    </w:p>
    <w:p>
      <w:pPr>
        <w:pStyle w:val="ListParagraph"/>
        <w:numPr>
          <w:ilvl w:val="0"/>
          <w:numId w:val="2"/>
        </w:numPr>
        <w:spacing w:after="80"/>
      </w:pPr>
      <w:r>
        <w:t xml:space="preserve">Taking UAE residence while living in Singapore on EP creates a dual-residence situation with its own complications.</w:t>
      </w:r>
    </w:p>
    <w:p>
      <w:pPr>
        <w:spacing w:after="80"/>
      </w:pPr>
      <w:r>
        <w:t xml:space="preserve"/>
      </w:r>
    </w:p>
    <w:p>
      <w:pPr>
        <w:spacing w:after="120"/>
      </w:pPr>
      <w:r>
        <w:rPr>
          <w:b/>
          <w:bCs/>
        </w:rPr>
        <w:t xml:space="preserve">Verdict:</w:t>
      </w:r>
    </w:p>
    <w:p>
      <w:pPr>
        <w:pStyle w:val="ListParagraph"/>
        <w:numPr>
          <w:ilvl w:val="0"/>
          <w:numId w:val="2"/>
        </w:numPr>
        <w:spacing w:after="80"/>
      </w:pPr>
      <w:r>
        <w:t xml:space="preserve">Works only if founder relocates to Dubai or the UAE entity has real operational substance there.</w:t>
      </w:r>
    </w:p>
    <w:p>
      <w:pPr>
        <w:pStyle w:val="ListParagraph"/>
        <w:numPr>
          <w:ilvl w:val="0"/>
          <w:numId w:val="2"/>
        </w:numPr>
        <w:spacing w:after="80"/>
      </w:pPr>
      <w:r>
        <w:t xml:space="preserve">EP constraint: not resolved for founder remaining in Singapore.</w:t>
      </w:r>
    </w:p>
    <w:p>
      <w:pPr>
        <w:pStyle w:val="ListParagraph"/>
        <w:numPr>
          <w:ilvl w:val="0"/>
          <w:numId w:val="2"/>
        </w:numPr>
        <w:spacing w:after="80"/>
      </w:pPr>
      <w:r>
        <w:t xml:space="preserve">Banking: hardest of all options reviewed.</w:t>
      </w:r>
    </w:p>
    <w:p>
      <w:pPr>
        <w:pStyle w:val="ListParagraph"/>
        <w:numPr>
          <w:ilvl w:val="0"/>
          <w:numId w:val="2"/>
        </w:numPr>
        <w:spacing w:after="80"/>
      </w:pPr>
      <w:r>
        <w:t xml:space="preserve">Rejected for FitDesk's situation: high cost, banking friction, doesn't solve any actual problem.</w:t>
      </w:r>
    </w:p>
    <w:p>
      <w:pPr>
        <w:spacing w:after="80"/>
      </w:pPr>
      <w:r>
        <w:t xml:space="preserve"/>
      </w:r>
    </w:p>
    <w:p>
      <w:pPr>
        <w:pStyle w:val="Heading2"/>
        <w:spacing w:after="160" w:before="280"/>
      </w:pPr>
      <w:r>
        <w:t xml:space="preserve">2.5 Hong Kong (HK Ltd)</w:t>
      </w:r>
    </w:p>
    <w:p>
      <w:pPr>
        <w:spacing w:after="120"/>
      </w:pPr>
      <w:r>
        <w:t xml:space="preserve">Considered for low corporate tax and offshore income exemption.</w:t>
      </w:r>
    </w:p>
    <w:p>
      <w:pPr>
        <w:spacing w:after="80"/>
      </w:pPr>
      <w:r>
        <w:t xml:space="preserve"/>
      </w:r>
    </w:p>
    <w:p>
      <w:pPr>
        <w:spacing w:after="120"/>
      </w:pPr>
      <w:r>
        <w:rPr>
          <w:b/>
          <w:bCs/>
        </w:rPr>
        <w:t xml:space="preserve">Setup and ongoing costs:</w:t>
      </w:r>
    </w:p>
    <w:p>
      <w:pPr>
        <w:pStyle w:val="ListParagraph"/>
        <w:numPr>
          <w:ilvl w:val="0"/>
          <w:numId w:val="2"/>
        </w:numPr>
        <w:spacing w:after="80"/>
      </w:pPr>
      <w:r>
        <w:t xml:space="preserve">Setup: HKD 5,000–15,000 (SGD 860–2,600).</w:t>
      </w:r>
    </w:p>
    <w:p>
      <w:pPr>
        <w:pStyle w:val="ListParagraph"/>
        <w:numPr>
          <w:ilvl w:val="0"/>
          <w:numId w:val="2"/>
        </w:numPr>
        <w:spacing w:after="80"/>
      </w:pPr>
      <w:r>
        <w:t xml:space="preserve">Ongoing: HKD 8,000–20,000/year (SGD 1,400–3,450).</w:t>
      </w:r>
    </w:p>
    <w:p>
      <w:pPr>
        <w:spacing w:after="80"/>
      </w:pPr>
      <w:r>
        <w:t xml:space="preserve"/>
      </w:r>
    </w:p>
    <w:p>
      <w:pPr>
        <w:spacing w:after="120"/>
      </w:pPr>
      <w:r>
        <w:rPr>
          <w:b/>
          <w:bCs/>
        </w:rPr>
        <w:t xml:space="preserve">Tax treatment:</w:t>
      </w:r>
    </w:p>
    <w:p>
      <w:pPr>
        <w:pStyle w:val="ListParagraph"/>
        <w:numPr>
          <w:ilvl w:val="0"/>
          <w:numId w:val="2"/>
        </w:numPr>
        <w:spacing w:after="80"/>
      </w:pPr>
      <w:r>
        <w:t xml:space="preserve">Profits tax: 16.5% headline. First HKD 2M at 8.25%.</w:t>
      </w:r>
    </w:p>
    <w:p>
      <w:pPr>
        <w:pStyle w:val="ListParagraph"/>
        <w:numPr>
          <w:ilvl w:val="0"/>
          <w:numId w:val="2"/>
        </w:numPr>
        <w:spacing w:after="80"/>
      </w:pPr>
      <w:r>
        <w:t xml:space="preserve">Offshore profits exemption: income earned outside HK not taxed, but requires annual claim to Inland Revenue Department, which scrutinises claims — especially for businesses serving customers in specific regions (like SEA).</w:t>
      </w:r>
    </w:p>
    <w:p>
      <w:pPr>
        <w:spacing w:after="80"/>
      </w:pPr>
      <w:r>
        <w:t xml:space="preserve"/>
      </w:r>
    </w:p>
    <w:p>
      <w:pPr>
        <w:spacing w:after="120"/>
      </w:pPr>
      <w:r>
        <w:rPr>
          <w:b/>
          <w:bCs/>
        </w:rPr>
        <w:t xml:space="preserve">Banking:</w:t>
      </w:r>
    </w:p>
    <w:p>
      <w:pPr>
        <w:pStyle w:val="ListParagraph"/>
        <w:numPr>
          <w:ilvl w:val="0"/>
          <w:numId w:val="2"/>
        </w:numPr>
        <w:spacing w:after="80"/>
      </w:pPr>
      <w:r>
        <w:t xml:space="preserve">Genuinely the hardest global jurisdiction for non-resident-owned companies to open accounts. HSBC, Standard Chartered, Hang Seng, DBS HK all tightened significantly post-2020.</w:t>
      </w:r>
    </w:p>
    <w:p>
      <w:pPr>
        <w:pStyle w:val="ListParagraph"/>
        <w:numPr>
          <w:ilvl w:val="0"/>
          <w:numId w:val="2"/>
        </w:numPr>
        <w:spacing w:after="80"/>
      </w:pPr>
      <w:r>
        <w:t xml:space="preserve">3–6 month process, at least one in-person visit, frequent rejections.</w:t>
      </w:r>
    </w:p>
    <w:p>
      <w:pPr>
        <w:pStyle w:val="ListParagraph"/>
        <w:numPr>
          <w:ilvl w:val="0"/>
          <w:numId w:val="2"/>
        </w:numPr>
        <w:spacing w:after="80"/>
      </w:pPr>
      <w:r>
        <w:t xml:space="preserve">Fallback: Neat, Airwallex, Wise — fintech alternatives, not full banks.</w:t>
      </w:r>
    </w:p>
    <w:p>
      <w:pPr>
        <w:spacing w:after="80"/>
      </w:pPr>
      <w:r>
        <w:t xml:space="preserve"/>
      </w:r>
    </w:p>
    <w:p>
      <w:pPr>
        <w:spacing w:after="120"/>
      </w:pPr>
      <w:r>
        <w:rPr>
          <w:b/>
          <w:bCs/>
        </w:rPr>
        <w:t xml:space="preserve">Verdict:</w:t>
      </w:r>
    </w:p>
    <w:p>
      <w:pPr>
        <w:pStyle w:val="ListParagraph"/>
        <w:numPr>
          <w:ilvl w:val="0"/>
          <w:numId w:val="2"/>
        </w:numPr>
        <w:spacing w:after="80"/>
      </w:pPr>
      <w:r>
        <w:t xml:space="preserve">Same POEM issue as Estonia and Dubai.</w:t>
      </w:r>
    </w:p>
    <w:p>
      <w:pPr>
        <w:pStyle w:val="ListParagraph"/>
        <w:numPr>
          <w:ilvl w:val="0"/>
          <w:numId w:val="2"/>
        </w:numPr>
        <w:spacing w:after="80"/>
      </w:pPr>
      <w:r>
        <w:t xml:space="preserve">Offshore exemption: uncertain to obtain; can end up paying full 16.5%.</w:t>
      </w:r>
    </w:p>
    <w:p>
      <w:pPr>
        <w:pStyle w:val="ListParagraph"/>
        <w:numPr>
          <w:ilvl w:val="0"/>
          <w:numId w:val="2"/>
        </w:numPr>
        <w:spacing w:after="80"/>
      </w:pPr>
      <w:r>
        <w:t xml:space="preserve">Banking: worst of the options.</w:t>
      </w:r>
    </w:p>
    <w:p>
      <w:pPr>
        <w:pStyle w:val="ListParagraph"/>
        <w:numPr>
          <w:ilvl w:val="0"/>
          <w:numId w:val="2"/>
        </w:numPr>
        <w:spacing w:after="80"/>
      </w:pPr>
      <w:r>
        <w:t xml:space="preserve">Rejected for FitDesk's situation: higher friction than Singapore with no offsetting benefit.</w:t>
      </w:r>
    </w:p>
    <w:p>
      <w:r>
        <w:br w:type="page"/>
      </w:r>
    </w:p>
    <w:p>
      <w:pPr>
        <w:pStyle w:val="Heading1"/>
        <w:spacing w:after="200" w:before="360"/>
      </w:pPr>
      <w:r>
        <w:t xml:space="preserve">3. Structural Options within Singapore</w:t>
      </w:r>
    </w:p>
    <w:p>
      <w:pPr>
        <w:spacing w:after="120"/>
      </w:pPr>
      <w:r>
        <w:t xml:space="preserve">Given Singapore is the optimal jurisdiction, three structural options were evaluated.</w:t>
      </w:r>
    </w:p>
    <w:p>
      <w:pPr>
        <w:pStyle w:val="Heading2"/>
        <w:spacing w:after="160" w:before="280"/>
      </w:pPr>
      <w:r>
        <w:t xml:space="preserve">3.1 Option A: Run FitDesk as an individual (sole proprietor)</w:t>
      </w:r>
    </w:p>
    <w:p>
      <w:pPr>
        <w:spacing w:after="120"/>
      </w:pPr>
      <w:r>
        <w:rPr>
          <w:b/>
          <w:bCs/>
        </w:rPr>
        <w:t xml:space="preserve">Structure: </w:t>
      </w:r>
    </w:p>
    <w:p>
      <w:pPr>
        <w:spacing w:after="120"/>
      </w:pPr>
      <w:r>
        <w:t xml:space="preserve">Founder registers as a sole proprietor (SGD 115, requires LOC from MOM). Revenue flows to personal bank account. Taxed at personal income rates.</w:t>
      </w:r>
    </w:p>
    <w:p>
      <w:pPr>
        <w:spacing w:after="120"/>
      </w:pPr>
      <w:r>
        <w:rPr>
          <w:b/>
          <w:bCs/>
        </w:rPr>
        <w:t xml:space="preserve">Pros:</w:t>
      </w:r>
    </w:p>
    <w:p>
      <w:pPr>
        <w:pStyle w:val="ListParagraph"/>
        <w:numPr>
          <w:ilvl w:val="0"/>
          <w:numId w:val="2"/>
        </w:numPr>
        <w:spacing w:after="80"/>
      </w:pPr>
      <w:r>
        <w:t xml:space="preserve">Lowest setup cost.</w:t>
      </w:r>
    </w:p>
    <w:p>
      <w:pPr>
        <w:pStyle w:val="ListParagraph"/>
        <w:numPr>
          <w:ilvl w:val="0"/>
          <w:numId w:val="2"/>
        </w:numPr>
        <w:spacing w:after="80"/>
      </w:pPr>
      <w:r>
        <w:t xml:space="preserve">Simplest structure.</w:t>
      </w:r>
    </w:p>
    <w:p>
      <w:pPr>
        <w:pStyle w:val="ListParagraph"/>
        <w:numPr>
          <w:ilvl w:val="0"/>
          <w:numId w:val="2"/>
        </w:numPr>
        <w:spacing w:after="80"/>
      </w:pPr>
      <w:r>
        <w:t xml:space="preserve">100% ownership and control.</w:t>
      </w:r>
    </w:p>
    <w:p>
      <w:pPr>
        <w:spacing w:after="120"/>
      </w:pPr>
      <w:r>
        <w:rPr>
          <w:b/>
          <w:bCs/>
        </w:rPr>
        <w:t xml:space="preserve">Cons:</w:t>
      </w:r>
    </w:p>
    <w:p>
      <w:pPr>
        <w:pStyle w:val="ListParagraph"/>
        <w:numPr>
          <w:ilvl w:val="0"/>
          <w:numId w:val="2"/>
        </w:numPr>
        <w:spacing w:after="80"/>
      </w:pPr>
      <w:r>
        <w:t xml:space="preserve">Requires LOC from MOM (needs current employer's consent).</w:t>
      </w:r>
    </w:p>
    <w:p>
      <w:pPr>
        <w:pStyle w:val="ListParagraph"/>
        <w:numPr>
          <w:ilvl w:val="0"/>
          <w:numId w:val="2"/>
        </w:numPr>
        <w:spacing w:after="80"/>
      </w:pPr>
      <w:r>
        <w:t xml:space="preserve">No corporate veil — founder personally liable for all business obligations.</w:t>
      </w:r>
    </w:p>
    <w:p>
      <w:pPr>
        <w:pStyle w:val="ListParagraph"/>
        <w:numPr>
          <w:ilvl w:val="0"/>
          <w:numId w:val="2"/>
        </w:numPr>
        <w:spacing w:after="80"/>
      </w:pPr>
      <w:r>
        <w:t xml:space="preserve">Commercial credibility weak — clients may prefer invoicing from "FitDesk Pte Ltd" rather than a personal name.</w:t>
      </w:r>
    </w:p>
    <w:p>
      <w:pPr>
        <w:pStyle w:val="ListParagraph"/>
        <w:numPr>
          <w:ilvl w:val="0"/>
          <w:numId w:val="2"/>
        </w:numPr>
        <w:spacing w:after="80"/>
      </w:pPr>
      <w:r>
        <w:t xml:space="preserve">Tax: personal income tax rates (progressive to 24%) applied to business income.</w:t>
      </w:r>
    </w:p>
    <w:p>
      <w:pPr>
        <w:spacing w:after="120"/>
      </w:pPr>
      <w:r>
        <w:rPr>
          <w:b/>
          <w:bCs/>
        </w:rPr>
        <w:t xml:space="preserve">Verdict: </w:t>
      </w:r>
    </w:p>
    <w:p>
      <w:pPr>
        <w:spacing w:after="120"/>
      </w:pPr>
      <w:r>
        <w:t xml:space="preserve">Viable only if LOC obtained and the founder accepts personal liability exposure. Not the strongest structure at scale.</w:t>
      </w:r>
    </w:p>
    <w:p>
      <w:pPr>
        <w:spacing w:after="80"/>
      </w:pPr>
      <w:r>
        <w:t xml:space="preserve"/>
      </w:r>
    </w:p>
    <w:p>
      <w:pPr>
        <w:pStyle w:val="Heading2"/>
        <w:spacing w:after="160" w:before="280"/>
      </w:pPr>
      <w:r>
        <w:t xml:space="preserve">3.2 Option B: New Singapore Pte Ltd, 100% owned by founder</w:t>
      </w:r>
    </w:p>
    <w:p>
      <w:pPr>
        <w:spacing w:after="120"/>
      </w:pPr>
      <w:r>
        <w:rPr>
          <w:b/>
          <w:bCs/>
        </w:rPr>
        <w:t xml:space="preserve">Structure: </w:t>
      </w:r>
    </w:p>
    <w:p>
      <w:pPr>
        <w:spacing w:after="120"/>
      </w:pPr>
      <w:r>
        <w:t xml:space="preserve">New entity set up via Sleek/Osome. Founder holds 100% of shares. Nominee director (included in service) for local director requirement. Founder still needs LOC to actively operate, or hires someone to operate while remaining passive.</w:t>
      </w:r>
    </w:p>
    <w:p>
      <w:pPr>
        <w:spacing w:after="120"/>
      </w:pPr>
      <w:r>
        <w:rPr>
          <w:b/>
          <w:bCs/>
        </w:rPr>
        <w:t xml:space="preserve">Pros:</w:t>
      </w:r>
    </w:p>
    <w:p>
      <w:pPr>
        <w:pStyle w:val="ListParagraph"/>
        <w:numPr>
          <w:ilvl w:val="0"/>
          <w:numId w:val="2"/>
        </w:numPr>
        <w:spacing w:after="80"/>
      </w:pPr>
      <w:r>
        <w:t xml:space="preserve">100% of economics to the founder.</w:t>
      </w:r>
    </w:p>
    <w:p>
      <w:pPr>
        <w:pStyle w:val="ListParagraph"/>
        <w:numPr>
          <w:ilvl w:val="0"/>
          <w:numId w:val="2"/>
        </w:numPr>
        <w:spacing w:after="80"/>
      </w:pPr>
      <w:r>
        <w:t xml:space="preserve">Full control — no co-shareholders.</w:t>
      </w:r>
    </w:p>
    <w:p>
      <w:pPr>
        <w:pStyle w:val="ListParagraph"/>
        <w:numPr>
          <w:ilvl w:val="0"/>
          <w:numId w:val="2"/>
        </w:numPr>
        <w:spacing w:after="80"/>
      </w:pPr>
      <w:r>
        <w:t xml:space="preserve">Corporate veil protects personal assets.</w:t>
      </w:r>
    </w:p>
    <w:p>
      <w:pPr>
        <w:pStyle w:val="ListParagraph"/>
        <w:numPr>
          <w:ilvl w:val="0"/>
          <w:numId w:val="2"/>
        </w:numPr>
        <w:spacing w:after="80"/>
      </w:pPr>
      <w:r>
        <w:t xml:space="preserve">Credibility: clean ACRA-registered entity.</w:t>
      </w:r>
    </w:p>
    <w:p>
      <w:pPr>
        <w:pStyle w:val="ListParagraph"/>
        <w:numPr>
          <w:ilvl w:val="0"/>
          <w:numId w:val="2"/>
        </w:numPr>
        <w:spacing w:after="80"/>
      </w:pPr>
      <w:r>
        <w:t xml:space="preserve">Tax-efficient: Singapore startup exemption + 0% dividend tax.</w:t>
      </w:r>
    </w:p>
    <w:p>
      <w:pPr>
        <w:spacing w:after="120"/>
      </w:pPr>
      <w:r>
        <w:rPr>
          <w:b/>
          <w:bCs/>
        </w:rPr>
        <w:t xml:space="preserve">Cons:</w:t>
      </w:r>
    </w:p>
    <w:p>
      <w:pPr>
        <w:pStyle w:val="ListParagraph"/>
        <w:numPr>
          <w:ilvl w:val="0"/>
          <w:numId w:val="2"/>
        </w:numPr>
        <w:spacing w:after="80"/>
      </w:pPr>
      <w:r>
        <w:t xml:space="preserve">Setup cost: SGD 1,500 one-time + SGD 2,000/year ongoing.</w:t>
      </w:r>
    </w:p>
    <w:p>
      <w:pPr>
        <w:pStyle w:val="ListParagraph"/>
        <w:numPr>
          <w:ilvl w:val="0"/>
          <w:numId w:val="2"/>
        </w:numPr>
        <w:spacing w:after="80"/>
      </w:pPr>
      <w:r>
        <w:t xml:space="preserve">EP constraint still binds the founder — requires LOC to actively operate, or genuine passive shareholding with a hired operator.</w:t>
      </w:r>
    </w:p>
    <w:p>
      <w:pPr>
        <w:pStyle w:val="ListParagraph"/>
        <w:numPr>
          <w:ilvl w:val="0"/>
          <w:numId w:val="2"/>
        </w:numPr>
        <w:spacing w:after="80"/>
      </w:pPr>
      <w:r>
        <w:t xml:space="preserve">Need to find trusted nominee director (usually via Sleek/Osome).</w:t>
      </w:r>
    </w:p>
    <w:p>
      <w:pPr>
        <w:spacing w:after="120"/>
      </w:pPr>
      <w:r>
        <w:rPr>
          <w:b/>
          <w:bCs/>
        </w:rPr>
        <w:t xml:space="preserve">Verdict: </w:t>
      </w:r>
    </w:p>
    <w:p>
      <w:pPr>
        <w:spacing w:after="120"/>
      </w:pPr>
      <w:r>
        <w:t xml:space="preserve">Best standalone structure if LOC is obtainable. Clean, full ownership, fully tax-optimal.</w:t>
      </w:r>
    </w:p>
    <w:p>
      <w:pPr>
        <w:spacing w:after="80"/>
      </w:pPr>
      <w:r>
        <w:t xml:space="preserve"/>
      </w:r>
    </w:p>
    <w:p>
      <w:pPr>
        <w:pStyle w:val="Heading2"/>
        <w:spacing w:after="160" w:before="280"/>
      </w:pPr>
      <w:r>
        <w:t xml:space="preserve">3.3 Option C: Bramkrit Pte Ltd (existing entity) operates FitDesk</w:t>
      </w:r>
    </w:p>
    <w:p>
      <w:pPr>
        <w:spacing w:after="120"/>
      </w:pPr>
      <w:r>
        <w:rPr>
          <w:b/>
          <w:bCs/>
        </w:rPr>
        <w:t xml:space="preserve">Structure: </w:t>
      </w:r>
    </w:p>
    <w:p>
      <w:pPr>
        <w:spacing w:after="120"/>
      </w:pPr>
      <w:r>
        <w:t xml:space="preserve">FitDesk IP transfers into Bramkrit. Bramkrit owns and operates FitDesk. Revenue flows to Bramkrit. Dividends pay out pro-rata to all Bramkrit shareholders, including the founder.</w:t>
      </w:r>
    </w:p>
    <w:p>
      <w:pPr>
        <w:spacing w:after="120"/>
      </w:pPr>
      <w:r>
        <w:rPr>
          <w:b/>
          <w:bCs/>
        </w:rPr>
        <w:t xml:space="preserve">Pros:</w:t>
      </w:r>
    </w:p>
    <w:p>
      <w:pPr>
        <w:pStyle w:val="ListParagraph"/>
        <w:numPr>
          <w:ilvl w:val="0"/>
          <w:numId w:val="2"/>
        </w:numPr>
        <w:spacing w:after="80"/>
      </w:pPr>
      <w:r>
        <w:t xml:space="preserve">Entity already exists — no new setup cost.</w:t>
      </w:r>
    </w:p>
    <w:p>
      <w:pPr>
        <w:pStyle w:val="ListParagraph"/>
        <w:numPr>
          <w:ilvl w:val="0"/>
          <w:numId w:val="2"/>
        </w:numPr>
        <w:spacing w:after="80"/>
      </w:pPr>
      <w:r>
        <w:t xml:space="preserve">Singapore director already in place.</w:t>
      </w:r>
    </w:p>
    <w:p>
      <w:pPr>
        <w:pStyle w:val="ListParagraph"/>
        <w:numPr>
          <w:ilvl w:val="0"/>
          <w:numId w:val="2"/>
        </w:numPr>
        <w:spacing w:after="80"/>
      </w:pPr>
      <w:r>
        <w:t xml:space="preserve">Banking and compliance relationships already established.</w:t>
      </w:r>
    </w:p>
    <w:p>
      <w:pPr>
        <w:pStyle w:val="ListParagraph"/>
        <w:numPr>
          <w:ilvl w:val="0"/>
          <w:numId w:val="2"/>
        </w:numPr>
        <w:spacing w:after="80"/>
      </w:pPr>
      <w:r>
        <w:t xml:space="preserve">Founder is already a shareholder and stakeholder.</w:t>
      </w:r>
    </w:p>
    <w:p>
      <w:pPr>
        <w:pStyle w:val="ListParagraph"/>
        <w:numPr>
          <w:ilvl w:val="0"/>
          <w:numId w:val="2"/>
        </w:numPr>
        <w:spacing w:after="80"/>
      </w:pPr>
      <w:r>
        <w:t xml:space="preserve">Corporate veil protects founder personally.</w:t>
      </w:r>
    </w:p>
    <w:p>
      <w:pPr>
        <w:pStyle w:val="ListParagraph"/>
        <w:numPr>
          <w:ilvl w:val="0"/>
          <w:numId w:val="2"/>
        </w:numPr>
        <w:spacing w:after="80"/>
      </w:pPr>
      <w:r>
        <w:t xml:space="preserve">Tax-efficient — same Singapore Pte Ltd regime.</w:t>
      </w:r>
    </w:p>
    <w:p>
      <w:pPr>
        <w:spacing w:after="120"/>
      </w:pPr>
      <w:r>
        <w:rPr>
          <w:b/>
          <w:bCs/>
        </w:rPr>
        <w:t xml:space="preserve">Cons:</w:t>
      </w:r>
    </w:p>
    <w:p>
      <w:pPr>
        <w:pStyle w:val="ListParagraph"/>
        <w:numPr>
          <w:ilvl w:val="0"/>
          <w:numId w:val="2"/>
        </w:numPr>
        <w:spacing w:after="80"/>
      </w:pPr>
      <w:r>
        <w:t xml:space="preserve">Revenue shared pro-rata with other Bramkrit shareholders (founder does not receive 100% of FitDesk's economics).</w:t>
      </w:r>
    </w:p>
    <w:p>
      <w:pPr>
        <w:pStyle w:val="ListParagraph"/>
        <w:numPr>
          <w:ilvl w:val="0"/>
          <w:numId w:val="2"/>
        </w:numPr>
        <w:spacing w:after="80"/>
      </w:pPr>
      <w:r>
        <w:t xml:space="preserve">Major decisions about FitDesk (sale, pivot, wind-down) require shareholder approval per Bramkrit's governance.</w:t>
      </w:r>
    </w:p>
    <w:p>
      <w:pPr>
        <w:pStyle w:val="ListParagraph"/>
        <w:numPr>
          <w:ilvl w:val="0"/>
          <w:numId w:val="2"/>
        </w:numPr>
        <w:spacing w:after="80"/>
      </w:pPr>
      <w:r>
        <w:t xml:space="preserve">IP transfer is a one-way door: once FitDesk is inside Bramkrit, extracting it requires shareholder consent and fair-value transaction.</w:t>
      </w:r>
    </w:p>
    <w:p>
      <w:pPr>
        <w:pStyle w:val="ListParagraph"/>
        <w:numPr>
          <w:ilvl w:val="0"/>
          <w:numId w:val="2"/>
        </w:numPr>
        <w:spacing w:after="80"/>
      </w:pPr>
      <w:r>
        <w:t xml:space="preserve">Commingling: FitDesk operations mixed with Bramkrit's other activities; accounting separation required.</w:t>
      </w:r>
    </w:p>
    <w:p>
      <w:pPr>
        <w:spacing w:after="120"/>
      </w:pPr>
      <w:r>
        <w:rPr>
          <w:b/>
          <w:bCs/>
        </w:rPr>
        <w:t xml:space="preserve">Verdict (chosen): </w:t>
      </w:r>
    </w:p>
    <w:p>
      <w:pPr>
        <w:spacing w:after="120"/>
      </w:pPr>
      <w:r>
        <w:t xml:space="preserve">Selected as the operating vehicle for FitDesk. The founder accepts pro-rata distribution and shared control as tradeoffs against setup cost and the existing-infrastructure advantage. Exit mechanism via EntrePass at SGD 200K ARR provides a forward path to full ownership in a future new entity.</w:t>
      </w:r>
    </w:p>
    <w:p>
      <w:r>
        <w:br w:type="page"/>
      </w:r>
    </w:p>
    <w:p>
      <w:pPr>
        <w:pStyle w:val="Heading1"/>
        <w:spacing w:after="200" w:before="360"/>
      </w:pPr>
      <w:r>
        <w:t xml:space="preserve">4. Hybrid and Rejected Variations</w:t>
      </w:r>
    </w:p>
    <w:p>
      <w:pPr>
        <w:spacing w:after="120"/>
      </w:pPr>
      <w:r>
        <w:t xml:space="preserve">Several hybrid structures were explored and discarded. Captured here for record.</w:t>
      </w:r>
    </w:p>
    <w:p>
      <w:pPr>
        <w:pStyle w:val="Heading2"/>
        <w:spacing w:after="160" w:before="280"/>
      </w:pPr>
      <w:r>
        <w:t xml:space="preserve">4.1 Run as individual without declaring to MOM</w:t>
      </w:r>
    </w:p>
    <w:p>
      <w:pPr>
        <w:spacing w:after="120"/>
      </w:pPr>
      <w:r>
        <w:t xml:space="preserve">Proposed: operate FitDesk personally, accept revenue, don't inform MOM or employer. </w:t>
      </w:r>
    </w:p>
    <w:p>
      <w:pPr>
        <w:spacing w:after="120"/>
      </w:pPr>
      <w:r>
        <w:rPr>
          <w:b/>
          <w:bCs/>
        </w:rPr>
        <w:t xml:space="preserve">Reasons rejected:</w:t>
      </w:r>
    </w:p>
    <w:p>
      <w:pPr>
        <w:pStyle w:val="ListParagraph"/>
        <w:numPr>
          <w:ilvl w:val="0"/>
          <w:numId w:val="2"/>
        </w:numPr>
        <w:spacing w:after="80"/>
      </w:pPr>
      <w:r>
        <w:t xml:space="preserve">Violates EP conditions. MOM applies substance-over-form — GitHub commits, customer records, and operational logs evidence active operation.</w:t>
      </w:r>
    </w:p>
    <w:p>
      <w:pPr>
        <w:pStyle w:val="ListParagraph"/>
        <w:numPr>
          <w:ilvl w:val="0"/>
          <w:numId w:val="2"/>
        </w:numPr>
        <w:spacing w:after="80"/>
      </w:pPr>
      <w:r>
        <w:t xml:space="preserve">Risk profile: EP revocation, re-entry ban (2–5 years), fines up to SGD 20,000, company-level penalties.</w:t>
      </w:r>
    </w:p>
    <w:p>
      <w:pPr>
        <w:pStyle w:val="ListParagraph"/>
        <w:numPr>
          <w:ilvl w:val="0"/>
          <w:numId w:val="2"/>
        </w:numPr>
        <w:spacing w:after="80"/>
      </w:pPr>
      <w:r>
        <w:t xml:space="preserve">Risk scales with success: the larger FitDesk grows, the more exposure (tax filings, platform reports, growing paper trails).</w:t>
      </w:r>
    </w:p>
    <w:p>
      <w:pPr>
        <w:spacing w:after="80"/>
      </w:pPr>
      <w:r>
        <w:t xml:space="preserve"/>
      </w:r>
    </w:p>
    <w:p>
      <w:pPr>
        <w:pStyle w:val="Heading2"/>
        <w:spacing w:after="160" w:before="280"/>
      </w:pPr>
      <w:r>
        <w:t xml:space="preserve">4.2 Bramkrit employs an Indian worker as cover while founder actually operates</w:t>
      </w:r>
    </w:p>
    <w:p>
      <w:pPr>
        <w:spacing w:after="120"/>
      </w:pPr>
      <w:r>
        <w:t xml:space="preserve">Proposed: Bramkrit hires an Indian contractor nominally as operator, but founder continues to code and make decisions.</w:t>
      </w:r>
    </w:p>
    <w:p>
      <w:pPr>
        <w:spacing w:after="120"/>
      </w:pPr>
      <w:r>
        <w:rPr>
          <w:b/>
          <w:bCs/>
        </w:rPr>
        <w:t xml:space="preserve">Reasons rejected:</w:t>
      </w:r>
    </w:p>
    <w:p>
      <w:pPr>
        <w:pStyle w:val="ListParagraph"/>
        <w:numPr>
          <w:ilvl w:val="0"/>
          <w:numId w:val="2"/>
        </w:numPr>
        <w:spacing w:after="80"/>
      </w:pPr>
      <w:r>
        <w:t xml:space="preserve">Same substance-over-form issue as Option 4.1. Paper structure doesn't change operational reality.</w:t>
      </w:r>
    </w:p>
    <w:p>
      <w:pPr>
        <w:pStyle w:val="ListParagraph"/>
        <w:numPr>
          <w:ilvl w:val="0"/>
          <w:numId w:val="2"/>
        </w:numPr>
        <w:spacing w:after="80"/>
      </w:pPr>
      <w:r>
        <w:t xml:space="preserve">Creates a more complex paper trail to unravel if audited.</w:t>
      </w:r>
    </w:p>
    <w:p>
      <w:pPr>
        <w:pStyle w:val="ListParagraph"/>
        <w:numPr>
          <w:ilvl w:val="0"/>
          <w:numId w:val="2"/>
        </w:numPr>
        <w:spacing w:after="80"/>
      </w:pPr>
      <w:r>
        <w:t xml:space="preserve">Misrepresents operator identity to MOM and Bramkrit's governance if ever examined.</w:t>
      </w:r>
    </w:p>
    <w:p>
      <w:pPr>
        <w:spacing w:after="80"/>
      </w:pPr>
      <w:r>
        <w:t xml:space="preserve"/>
      </w:r>
    </w:p>
    <w:p>
      <w:pPr>
        <w:pStyle w:val="Heading2"/>
        <w:spacing w:after="160" w:before="280"/>
      </w:pPr>
      <w:r>
        <w:t xml:space="preserve">4.3 FitDesk as subsidiary of Bramkrit with different share split</w:t>
      </w:r>
    </w:p>
    <w:p>
      <w:pPr>
        <w:spacing w:after="120"/>
      </w:pPr>
      <w:r>
        <w:t xml:space="preserve">Proposed: incorporate FitDesk Pte Ltd with founder owning 80% and Bramkrit owning 20%. Founder controls FitDesk; Bramkrit shareholders benefit modestly through Bramkrit's 20% slice.</w:t>
      </w:r>
    </w:p>
    <w:p>
      <w:pPr>
        <w:spacing w:after="120"/>
      </w:pPr>
      <w:r>
        <w:rPr>
          <w:b/>
          <w:bCs/>
        </w:rPr>
        <w:t xml:space="preserve">Reasons considered and ultimately not pursued:</w:t>
      </w:r>
    </w:p>
    <w:p>
      <w:pPr>
        <w:pStyle w:val="ListParagraph"/>
        <w:numPr>
          <w:ilvl w:val="0"/>
          <w:numId w:val="2"/>
        </w:numPr>
        <w:spacing w:after="80"/>
      </w:pPr>
      <w:r>
        <w:t xml:space="preserve">Structurally clean — would have addressed both the control and economics concerns.</w:t>
      </w:r>
    </w:p>
    <w:p>
      <w:pPr>
        <w:pStyle w:val="ListParagraph"/>
        <w:numPr>
          <w:ilvl w:val="0"/>
          <w:numId w:val="2"/>
        </w:numPr>
        <w:spacing w:after="80"/>
      </w:pPr>
      <w:r>
        <w:t xml:space="preserve">But: if the founder is already setting up a new Pte Ltd, there's no substantive reason to include Bramkrit unless Bramkrit contributes material capital or services. Absent a real contribution, giving Bramkrit 20% equity is gift-without-consideration.</w:t>
      </w:r>
    </w:p>
    <w:p>
      <w:pPr>
        <w:pStyle w:val="ListParagraph"/>
        <w:numPr>
          <w:ilvl w:val="0"/>
          <w:numId w:val="2"/>
        </w:numPr>
        <w:spacing w:after="80"/>
      </w:pPr>
      <w:r>
        <w:t xml:space="preserve">Founder concluded the simpler answer was to use Bramkrit directly (Option C) given Bramkrit already exists.</w:t>
      </w:r>
    </w:p>
    <w:p>
      <w:pPr>
        <w:spacing w:after="80"/>
      </w:pPr>
      <w:r>
        <w:t xml:space="preserve"/>
      </w:r>
    </w:p>
    <w:p>
      <w:pPr>
        <w:pStyle w:val="Heading2"/>
        <w:spacing w:after="160" w:before="280"/>
      </w:pPr>
      <w:r>
        <w:t xml:space="preserve">4.4 Services/licensing arrangement — Bramkrit operates FitDesk on behalf of founder</w:t>
      </w:r>
    </w:p>
    <w:p>
      <w:pPr>
        <w:spacing w:after="120"/>
      </w:pPr>
      <w:r>
        <w:t xml:space="preserve">Proposed: founder retains personal ownership of FitDesk IP. Bramkrit licenses operational rights and keeps a small margin; founder collects revenue personally minus the license fee.</w:t>
      </w:r>
    </w:p>
    <w:p>
      <w:pPr>
        <w:spacing w:after="120"/>
      </w:pPr>
      <w:r>
        <w:rPr>
          <w:b/>
          <w:bCs/>
        </w:rPr>
        <w:t xml:space="preserve">Reasons rejected:</w:t>
      </w:r>
    </w:p>
    <w:p>
      <w:pPr>
        <w:pStyle w:val="ListParagraph"/>
        <w:numPr>
          <w:ilvl w:val="0"/>
          <w:numId w:val="2"/>
        </w:numPr>
        <w:spacing w:after="80"/>
      </w:pPr>
      <w:r>
        <w:t xml:space="preserve">Personal business income for the founder: still Singapore-taxable at personal rates (up to 24% marginal).</w:t>
      </w:r>
    </w:p>
    <w:p>
      <w:pPr>
        <w:pStyle w:val="ListParagraph"/>
        <w:numPr>
          <w:ilvl w:val="0"/>
          <w:numId w:val="2"/>
        </w:numPr>
        <w:spacing w:after="80"/>
      </w:pPr>
      <w:r>
        <w:t xml:space="preserve">IRAS arm's-length pricing rules: the license fee must be defensible as market-rate, or IRAS can challenge the structure.</w:t>
      </w:r>
    </w:p>
    <w:p>
      <w:pPr>
        <w:pStyle w:val="ListParagraph"/>
        <w:numPr>
          <w:ilvl w:val="0"/>
          <w:numId w:val="2"/>
        </w:numPr>
        <w:spacing w:after="80"/>
      </w:pPr>
      <w:r>
        <w:t xml:space="preserve">Doesn't resolve EP constraint: founder still actively engaged as the owner-licensor of an operating business.</w:t>
      </w:r>
    </w:p>
    <w:p>
      <w:pPr>
        <w:pStyle w:val="ListParagraph"/>
        <w:numPr>
          <w:ilvl w:val="0"/>
          <w:numId w:val="2"/>
        </w:numPr>
        <w:spacing w:after="80"/>
      </w:pPr>
      <w:r>
        <w:t xml:space="preserve">Tax outcome: worse than Option C (Bramkrit direct) because personal income tax replaces 0% dividend.</w:t>
      </w:r>
    </w:p>
    <w:p>
      <w:pPr>
        <w:spacing w:after="80"/>
      </w:pPr>
      <w:r>
        <w:t xml:space="preserve"/>
      </w:r>
    </w:p>
    <w:p>
      <w:pPr>
        <w:pStyle w:val="Heading2"/>
        <w:spacing w:after="160" w:before="280"/>
      </w:pPr>
      <w:r>
        <w:t xml:space="preserve">4.5 Sub-company of Bramkrit with different internal profit allocation (no separate entity)</w:t>
      </w:r>
    </w:p>
    <w:p>
      <w:pPr>
        <w:spacing w:after="120"/>
      </w:pPr>
      <w:r>
        <w:t xml:space="preserve">Proposed: keep FitDesk inside Bramkrit as a "division" but arrange for FitDesk profits to flow disproportionately to the founder.</w:t>
      </w:r>
    </w:p>
    <w:p>
      <w:pPr>
        <w:spacing w:after="120"/>
      </w:pPr>
      <w:r>
        <w:rPr>
          <w:b/>
          <w:bCs/>
        </w:rPr>
        <w:t xml:space="preserve">Reasons rejected:</w:t>
      </w:r>
    </w:p>
    <w:p>
      <w:pPr>
        <w:pStyle w:val="ListParagraph"/>
        <w:numPr>
          <w:ilvl w:val="0"/>
          <w:numId w:val="2"/>
        </w:numPr>
        <w:spacing w:after="80"/>
      </w:pPr>
      <w:r>
        <w:t xml:space="preserve">Singapore law doesn't allow different profit shares for different business activities within a single company. Dividends are pro-rata across all shareholders for the company as a whole.</w:t>
      </w:r>
    </w:p>
    <w:p>
      <w:pPr>
        <w:pStyle w:val="ListParagraph"/>
        <w:numPr>
          <w:ilvl w:val="0"/>
          <w:numId w:val="2"/>
        </w:numPr>
        <w:spacing w:after="80"/>
      </w:pPr>
      <w:r>
        <w:t xml:space="preserve">Share classes can differentiate rights across the company, but not per business line.</w:t>
      </w:r>
    </w:p>
    <w:p>
      <w:pPr>
        <w:pStyle w:val="ListParagraph"/>
        <w:numPr>
          <w:ilvl w:val="0"/>
          <w:numId w:val="2"/>
        </w:numPr>
        <w:spacing w:after="80"/>
      </w:pPr>
      <w:r>
        <w:t xml:space="preserve">Tracking stock (US concept) doesn't exist in Singapore private company law.</w:t>
      </w:r>
    </w:p>
    <w:p>
      <w:pPr>
        <w:pStyle w:val="ListParagraph"/>
        <w:numPr>
          <w:ilvl w:val="0"/>
          <w:numId w:val="2"/>
        </w:numPr>
        <w:spacing w:after="80"/>
      </w:pPr>
      <w:r>
        <w:t xml:space="preserve">The cleanest way to carve out different economics is a separate entity — which is Option 4.3 (rejected for different reasons) or Option B (new Pte Ltd, rejected in favour of simplicity).</w:t>
      </w:r>
    </w:p>
    <w:p>
      <w:pPr>
        <w:spacing w:after="80"/>
      </w:pPr>
      <w:r>
        <w:t xml:space="preserve"/>
      </w:r>
    </w:p>
    <w:p>
      <w:pPr>
        <w:pStyle w:val="Heading2"/>
        <w:spacing w:after="160" w:before="280"/>
      </w:pPr>
      <w:r>
        <w:t xml:space="preserve">4.6 Register in India as non-resident, bank in Singapore</w:t>
      </w:r>
    </w:p>
    <w:p>
      <w:pPr>
        <w:spacing w:after="120"/>
      </w:pPr>
      <w:r>
        <w:t xml:space="preserve">Proposed: Indian Pvt Ltd owned by founder (as NRI), with Singapore bank account receiving revenue.</w:t>
      </w:r>
    </w:p>
    <w:p>
      <w:pPr>
        <w:spacing w:after="120"/>
      </w:pPr>
      <w:r>
        <w:rPr>
          <w:b/>
          <w:bCs/>
        </w:rPr>
        <w:t xml:space="preserve">Reasons rejected:</w:t>
      </w:r>
    </w:p>
    <w:p>
      <w:pPr>
        <w:pStyle w:val="ListParagraph"/>
        <w:numPr>
          <w:ilvl w:val="0"/>
          <w:numId w:val="2"/>
        </w:numPr>
        <w:spacing w:after="80"/>
      </w:pPr>
      <w:r>
        <w:t xml:space="preserve">Singapore bank account for an Indian company: genuinely hard to open, 2–6 month process, minimum deposits SGD 30–50K, frequent rejections.</w:t>
      </w:r>
    </w:p>
    <w:p>
      <w:pPr>
        <w:pStyle w:val="ListParagraph"/>
        <w:numPr>
          <w:ilvl w:val="0"/>
          <w:numId w:val="2"/>
        </w:numPr>
        <w:spacing w:after="80"/>
      </w:pPr>
      <w:r>
        <w:t xml:space="preserve">FEMA compliance adds INR 50,000–150,000/year overhead.</w:t>
      </w:r>
    </w:p>
    <w:p>
      <w:pPr>
        <w:pStyle w:val="ListParagraph"/>
        <w:numPr>
          <w:ilvl w:val="0"/>
          <w:numId w:val="2"/>
        </w:numPr>
        <w:spacing w:after="80"/>
      </w:pPr>
      <w:r>
        <w:t xml:space="preserve">Stripe routing: Stripe pays out based on entity country; an Indian entity gets Stripe India payouts, not Singapore.</w:t>
      </w:r>
    </w:p>
    <w:p>
      <w:pPr>
        <w:pStyle w:val="ListParagraph"/>
        <w:numPr>
          <w:ilvl w:val="0"/>
          <w:numId w:val="2"/>
        </w:numPr>
        <w:spacing w:after="80"/>
      </w:pPr>
      <w:r>
        <w:t xml:space="preserve">POEM risk if managed from Singapore.</w:t>
      </w:r>
    </w:p>
    <w:p>
      <w:pPr>
        <w:pStyle w:val="ListParagraph"/>
        <w:numPr>
          <w:ilvl w:val="0"/>
          <w:numId w:val="2"/>
        </w:numPr>
        <w:spacing w:after="80"/>
      </w:pPr>
      <w:r>
        <w:t xml:space="preserve">Doesn't resolve EP constraint.</w:t>
      </w:r>
    </w:p>
    <w:p>
      <w:r>
        <w:br w:type="page"/>
      </w:r>
    </w:p>
    <w:p>
      <w:pPr>
        <w:pStyle w:val="Heading1"/>
        <w:spacing w:after="200" w:before="360"/>
      </w:pPr>
      <w:r>
        <w:t xml:space="preserve">5. Jurisdiction Comparison Table</w:t>
      </w:r>
    </w:p>
    <w:p>
      <w:pPr>
        <w:spacing w:after="120"/>
      </w:pPr>
      <w:r>
        <w:t xml:space="preserve">Condensed side-by-side comparison. All amounts in SGD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00"/>
        <w:gridCol w:w="1400"/>
        <w:gridCol w:w="1400"/>
        <w:gridCol w:w="1400"/>
        <w:gridCol w:w="2200"/>
      </w:tblGrid>
      <w:tr>
        <w:trPr>
          <w:tblHeader/>
        </w:trPr>
        <w:tc>
          <w:tcPr>
            <w:tcW w:type="dxa" w:w="1560"/>
            <w:tcBorders>
              <w:top w:val="single" w:color="CCCCCC" w:sz="1"/>
              <w:left w:val="single" w:color="CCCCCC" w:sz="1"/>
              <w:bottom w:val="single" w:color="CCCCCC" w:sz="1"/>
              <w:right w:val="single" w:color="CCCCCC" w:sz="1"/>
            </w:tcBorders>
            <w:shd w:fill="1F3A5F" w:color="auto" w:val="clear"/>
            <w:tcMar>
              <w:top w:type="dxa" w:w="100"/>
              <w:left w:type="dxa" w:w="140"/>
              <w:bottom w:type="dxa" w:w="100"/>
              <w:right w:type="dxa" w:w="140"/>
            </w:tcMar>
          </w:tcPr>
          <w:p>
            <w:pPr>
              <w:spacing w:after="0"/>
            </w:pPr>
            <w:r>
              <w:rPr>
                <w:b/>
                <w:bCs/>
                <w:color w:val="FFFFFF"/>
                <w:sz w:val="20"/>
                <w:szCs w:val="20"/>
              </w:rPr>
              <w:t xml:space="preserve">Jurisdiction</w:t>
            </w:r>
          </w:p>
        </w:tc>
        <w:tc>
          <w:tcPr>
            <w:tcW w:type="dxa" w:w="1400"/>
            <w:tcBorders>
              <w:top w:val="single" w:color="CCCCCC" w:sz="1"/>
              <w:left w:val="single" w:color="CCCCCC" w:sz="1"/>
              <w:bottom w:val="single" w:color="CCCCCC" w:sz="1"/>
              <w:right w:val="single" w:color="CCCCCC" w:sz="1"/>
            </w:tcBorders>
            <w:shd w:fill="1F3A5F" w:color="auto" w:val="clear"/>
            <w:tcMar>
              <w:top w:type="dxa" w:w="100"/>
              <w:left w:type="dxa" w:w="140"/>
              <w:bottom w:type="dxa" w:w="100"/>
              <w:right w:type="dxa" w:w="140"/>
            </w:tcMar>
          </w:tcPr>
          <w:p>
            <w:pPr>
              <w:spacing w:after="0"/>
            </w:pPr>
            <w:r>
              <w:rPr>
                <w:b/>
                <w:bCs/>
                <w:color w:val="FFFFFF"/>
                <w:sz w:val="20"/>
                <w:szCs w:val="20"/>
              </w:rPr>
              <w:t xml:space="preserve">Setup cost</w:t>
            </w:r>
          </w:p>
        </w:tc>
        <w:tc>
          <w:tcPr>
            <w:tcW w:type="dxa" w:w="1400"/>
            <w:tcBorders>
              <w:top w:val="single" w:color="CCCCCC" w:sz="1"/>
              <w:left w:val="single" w:color="CCCCCC" w:sz="1"/>
              <w:bottom w:val="single" w:color="CCCCCC" w:sz="1"/>
              <w:right w:val="single" w:color="CCCCCC" w:sz="1"/>
            </w:tcBorders>
            <w:shd w:fill="1F3A5F" w:color="auto" w:val="clear"/>
            <w:tcMar>
              <w:top w:type="dxa" w:w="100"/>
              <w:left w:type="dxa" w:w="140"/>
              <w:bottom w:type="dxa" w:w="100"/>
              <w:right w:type="dxa" w:w="140"/>
            </w:tcMar>
          </w:tcPr>
          <w:p>
            <w:pPr>
              <w:spacing w:after="0"/>
            </w:pPr>
            <w:r>
              <w:rPr>
                <w:b/>
                <w:bCs/>
                <w:color w:val="FFFFFF"/>
                <w:sz w:val="20"/>
                <w:szCs w:val="20"/>
              </w:rPr>
              <w:t xml:space="preserve">Annual cost</w:t>
            </w:r>
          </w:p>
        </w:tc>
        <w:tc>
          <w:tcPr>
            <w:tcW w:type="dxa" w:w="1400"/>
            <w:tcBorders>
              <w:top w:val="single" w:color="CCCCCC" w:sz="1"/>
              <w:left w:val="single" w:color="CCCCCC" w:sz="1"/>
              <w:bottom w:val="single" w:color="CCCCCC" w:sz="1"/>
              <w:right w:val="single" w:color="CCCCCC" w:sz="1"/>
            </w:tcBorders>
            <w:shd w:fill="1F3A5F" w:color="auto" w:val="clear"/>
            <w:tcMar>
              <w:top w:type="dxa" w:w="100"/>
              <w:left w:type="dxa" w:w="140"/>
              <w:bottom w:type="dxa" w:w="100"/>
              <w:right w:type="dxa" w:w="140"/>
            </w:tcMar>
          </w:tcPr>
          <w:p>
            <w:pPr>
              <w:spacing w:after="0"/>
            </w:pPr>
            <w:r>
              <w:rPr>
                <w:b/>
                <w:bCs/>
                <w:color w:val="FFFFFF"/>
                <w:sz w:val="20"/>
                <w:szCs w:val="20"/>
              </w:rPr>
              <w:t xml:space="preserve">Banking</w:t>
            </w:r>
          </w:p>
        </w:tc>
        <w:tc>
          <w:tcPr>
            <w:tcW w:type="dxa" w:w="1400"/>
            <w:tcBorders>
              <w:top w:val="single" w:color="CCCCCC" w:sz="1"/>
              <w:left w:val="single" w:color="CCCCCC" w:sz="1"/>
              <w:bottom w:val="single" w:color="CCCCCC" w:sz="1"/>
              <w:right w:val="single" w:color="CCCCCC" w:sz="1"/>
            </w:tcBorders>
            <w:shd w:fill="1F3A5F" w:color="auto" w:val="clear"/>
            <w:tcMar>
              <w:top w:type="dxa" w:w="100"/>
              <w:left w:type="dxa" w:w="140"/>
              <w:bottom w:type="dxa" w:w="100"/>
              <w:right w:type="dxa" w:w="140"/>
            </w:tcMar>
          </w:tcPr>
          <w:p>
            <w:pPr>
              <w:spacing w:after="0"/>
            </w:pPr>
            <w:r>
              <w:rPr>
                <w:b/>
                <w:bCs/>
                <w:color w:val="FFFFFF"/>
                <w:sz w:val="20"/>
                <w:szCs w:val="20"/>
              </w:rPr>
              <w:t xml:space="preserve">Tax rate</w:t>
            </w:r>
          </w:p>
        </w:tc>
        <w:tc>
          <w:tcPr>
            <w:tcW w:type="dxa" w:w="2200"/>
            <w:tcBorders>
              <w:top w:val="single" w:color="CCCCCC" w:sz="1"/>
              <w:left w:val="single" w:color="CCCCCC" w:sz="1"/>
              <w:bottom w:val="single" w:color="CCCCCC" w:sz="1"/>
              <w:right w:val="single" w:color="CCCCCC" w:sz="1"/>
            </w:tcBorders>
            <w:shd w:fill="1F3A5F" w:color="auto" w:val="clear"/>
            <w:tcMar>
              <w:top w:type="dxa" w:w="100"/>
              <w:left w:type="dxa" w:w="140"/>
              <w:bottom w:type="dxa" w:w="100"/>
              <w:right w:type="dxa" w:w="140"/>
            </w:tcMar>
          </w:tcPr>
          <w:p>
            <w:pPr>
              <w:spacing w:after="0"/>
            </w:pPr>
            <w:r>
              <w:rPr>
                <w:b/>
                <w:bCs/>
                <w:color w:val="FFFFFF"/>
                <w:sz w:val="20"/>
                <w:szCs w:val="20"/>
              </w:rPr>
              <w:t xml:space="preserve">Resolves EP issue?</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Singapore new Pte Ltd</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SGD 1,500</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SGD 2,000</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Easy</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~8–10% eff.</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No — needs LOC or passive role</w:t>
            </w:r>
          </w:p>
        </w:tc>
      </w:tr>
      <w:tr>
        <w:tc>
          <w:tcPr>
            <w:tcW w:type="dxa" w:w="156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Bramkrit</w:t>
            </w:r>
          </w:p>
        </w:tc>
        <w:tc>
          <w:tcPr>
            <w:tcW w:type="dxa" w:w="140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SGD 0</w:t>
            </w:r>
          </w:p>
        </w:tc>
        <w:tc>
          <w:tcPr>
            <w:tcW w:type="dxa" w:w="140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Already paid</w:t>
            </w:r>
          </w:p>
        </w:tc>
        <w:tc>
          <w:tcPr>
            <w:tcW w:type="dxa" w:w="140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Already set up</w:t>
            </w:r>
          </w:p>
        </w:tc>
        <w:tc>
          <w:tcPr>
            <w:tcW w:type="dxa" w:w="140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~8–10% eff.</w:t>
            </w:r>
          </w:p>
        </w:tc>
        <w:tc>
          <w:tcPr>
            <w:tcW w:type="dxa" w:w="220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No — needs LOC or passive role</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India Pvt Ltd</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SGD 250–500</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SGD 1,000–2,500</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Easy in IN, hard in SG</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~25%</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No</w:t>
            </w:r>
          </w:p>
        </w:tc>
      </w:tr>
      <w:tr>
        <w:tc>
          <w:tcPr>
            <w:tcW w:type="dxa" w:w="156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Estonia OÜ</w:t>
            </w:r>
          </w:p>
        </w:tc>
        <w:tc>
          <w:tcPr>
            <w:tcW w:type="dxa" w:w="140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SGD 200–400</w:t>
            </w:r>
          </w:p>
        </w:tc>
        <w:tc>
          <w:tcPr>
            <w:tcW w:type="dxa" w:w="140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SGD 3,000–6,000</w:t>
            </w:r>
          </w:p>
        </w:tc>
        <w:tc>
          <w:tcPr>
            <w:tcW w:type="dxa" w:w="140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Wise/Revolut only</w:t>
            </w:r>
          </w:p>
        </w:tc>
        <w:tc>
          <w:tcPr>
            <w:tcW w:type="dxa" w:w="140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20% on distribution</w:t>
            </w:r>
          </w:p>
        </w:tc>
        <w:tc>
          <w:tcPr>
            <w:tcW w:type="dxa" w:w="220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No — POEM risk</w:t>
            </w:r>
          </w:p>
        </w:tc>
      </w:tr>
      <w:tr>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Dubai FZ</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SGD 4,000–10,800</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SGD 2,700–6,800</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Very hard</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9% above SGD 140K</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sz w:val="20"/>
                <w:szCs w:val="20"/>
              </w:rPr>
              <w:t xml:space="preserve">No — POEM risk</w:t>
            </w:r>
          </w:p>
        </w:tc>
      </w:tr>
      <w:tr>
        <w:tc>
          <w:tcPr>
            <w:tcW w:type="dxa" w:w="156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Hong Kong Ltd</w:t>
            </w:r>
          </w:p>
        </w:tc>
        <w:tc>
          <w:tcPr>
            <w:tcW w:type="dxa" w:w="140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SGD 860–2,600</w:t>
            </w:r>
          </w:p>
        </w:tc>
        <w:tc>
          <w:tcPr>
            <w:tcW w:type="dxa" w:w="140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SGD 1,400–3,450</w:t>
            </w:r>
          </w:p>
        </w:tc>
        <w:tc>
          <w:tcPr>
            <w:tcW w:type="dxa" w:w="140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Hardest</w:t>
            </w:r>
          </w:p>
        </w:tc>
        <w:tc>
          <w:tcPr>
            <w:tcW w:type="dxa" w:w="140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8.25–16.5%</w:t>
            </w:r>
          </w:p>
        </w:tc>
        <w:tc>
          <w:tcPr>
            <w:tcW w:type="dxa" w:w="2200"/>
            <w:tcBorders>
              <w:top w:val="single" w:color="CCCCCC" w:sz="1"/>
              <w:left w:val="single" w:color="CCCCCC" w:sz="1"/>
              <w:bottom w:val="single" w:color="CCCCCC" w:sz="1"/>
              <w:right w:val="single" w:color="CCCCCC" w:sz="1"/>
            </w:tcBorders>
            <w:shd w:fill="F5F7FA" w:color="auto" w:val="clear"/>
            <w:tcMar>
              <w:top w:type="dxa" w:w="100"/>
              <w:left w:type="dxa" w:w="140"/>
              <w:bottom w:type="dxa" w:w="100"/>
              <w:right w:type="dxa" w:w="140"/>
            </w:tcMar>
          </w:tcPr>
          <w:p>
            <w:pPr>
              <w:spacing w:after="0"/>
            </w:pPr>
            <w:r>
              <w:rPr>
                <w:sz w:val="20"/>
                <w:szCs w:val="20"/>
              </w:rPr>
              <w:t xml:space="preserve">No — POEM risk</w:t>
            </w:r>
          </w:p>
        </w:tc>
      </w:tr>
    </w:tbl>
    <w:p>
      <w:pPr>
        <w:spacing w:after="80"/>
      </w:pPr>
      <w:r>
        <w:t xml:space="preserve"/>
      </w:r>
    </w:p>
    <w:p>
      <w:pPr>
        <w:spacing w:after="120"/>
      </w:pPr>
      <w:r>
        <w:t xml:space="preserve">Notes:</w:t>
      </w:r>
    </w:p>
    <w:p>
      <w:pPr>
        <w:pStyle w:val="ListParagraph"/>
        <w:numPr>
          <w:ilvl w:val="0"/>
          <w:numId w:val="2"/>
        </w:numPr>
        <w:spacing w:after="80"/>
      </w:pPr>
      <w:r>
        <w:t xml:space="preserve">"Resolves EP issue" = whether the jurisdiction alone removes the MOM/EP constraint. None do — the EP constraint is personal to the founder and is resolved only through LOC, PR, EntrePass, passive shareholding, or relocation.</w:t>
      </w:r>
    </w:p>
    <w:p>
      <w:pPr>
        <w:pStyle w:val="ListParagraph"/>
        <w:numPr>
          <w:ilvl w:val="0"/>
          <w:numId w:val="2"/>
        </w:numPr>
        <w:spacing w:after="80"/>
      </w:pPr>
      <w:r>
        <w:t xml:space="preserve">"POEM risk" = Place of Effective Management. If IRAS treats a foreign entity as Singapore-managed, Singapore corporate tax applies regardless of flag.</w:t>
      </w:r>
    </w:p>
    <w:p>
      <w:pPr>
        <w:pStyle w:val="ListParagraph"/>
        <w:numPr>
          <w:ilvl w:val="0"/>
          <w:numId w:val="2"/>
        </w:numPr>
        <w:spacing w:after="80"/>
      </w:pPr>
      <w:r>
        <w:t xml:space="preserve">Tax rates are indicative; real effective rates depend on profit level, exemptions, and individual circumstances.</w:t>
      </w:r>
    </w:p>
    <w:p>
      <w:r>
        <w:br w:type="page"/>
      </w:r>
    </w:p>
    <w:p>
      <w:pPr>
        <w:pStyle w:val="Heading1"/>
        <w:spacing w:after="200" w:before="360"/>
      </w:pPr>
      <w:r>
        <w:t xml:space="preserve">6. Decisions and Forward Plan</w:t>
      </w:r>
    </w:p>
    <w:p>
      <w:pPr>
        <w:pStyle w:val="Heading2"/>
        <w:spacing w:after="160" w:before="280"/>
      </w:pPr>
      <w:r>
        <w:t xml:space="preserve">6.1 Locked decisions</w:t>
      </w:r>
    </w:p>
    <w:p>
      <w:pPr>
        <w:spacing w:after="120"/>
      </w:pPr>
      <w:r>
        <w:rPr>
          <w:b/>
          <w:bCs/>
        </w:rPr>
        <w:t xml:space="preserve">Entity: </w:t>
      </w:r>
    </w:p>
    <w:p>
      <w:pPr>
        <w:spacing w:after="120"/>
      </w:pPr>
      <w:r>
        <w:t xml:space="preserve">Bramkrit Pte Ltd will own and operate FitDesk.</w:t>
      </w:r>
    </w:p>
    <w:p>
      <w:pPr>
        <w:spacing w:after="120"/>
      </w:pPr>
      <w:r>
        <w:rPr>
          <w:b/>
          <w:bCs/>
        </w:rPr>
        <w:t xml:space="preserve">Founder's role: </w:t>
      </w:r>
    </w:p>
    <w:p>
      <w:pPr>
        <w:spacing w:after="120"/>
      </w:pPr>
      <w:r>
        <w:t xml:space="preserve">Owner and shareholder. Not day-to-day operator.</w:t>
      </w:r>
    </w:p>
    <w:p>
      <w:pPr>
        <w:spacing w:after="120"/>
      </w:pPr>
      <w:r>
        <w:rPr>
          <w:b/>
          <w:bCs/>
        </w:rPr>
        <w:t xml:space="preserve">Authentication method: </w:t>
      </w:r>
    </w:p>
    <w:p>
      <w:pPr>
        <w:spacing w:after="120"/>
      </w:pPr>
      <w:r>
        <w:t xml:space="preserve">Email magic-link login for beta. WhatsApp OTP deferred indefinitely. This removes the Meta business verification blocker.</w:t>
      </w:r>
    </w:p>
    <w:p>
      <w:pPr>
        <w:spacing w:after="120"/>
      </w:pPr>
      <w:r>
        <w:rPr>
          <w:b/>
          <w:bCs/>
        </w:rPr>
        <w:t xml:space="preserve">Revenue sharing: </w:t>
      </w:r>
    </w:p>
    <w:p>
      <w:pPr>
        <w:spacing w:after="120"/>
      </w:pPr>
      <w:r>
        <w:t xml:space="preserve">Pro-rata across Bramkrit shareholders per existing shareholding percentages. Founder does not receive 100% of FitDesk's economics while Bramkrit has other shareholders.</w:t>
      </w:r>
    </w:p>
    <w:p>
      <w:pPr>
        <w:spacing w:after="120"/>
      </w:pPr>
      <w:r>
        <w:rPr>
          <w:b/>
          <w:bCs/>
        </w:rPr>
        <w:t xml:space="preserve">Exit trigger: </w:t>
      </w:r>
    </w:p>
    <w:p>
      <w:pPr>
        <w:spacing w:after="120"/>
      </w:pPr>
      <w:r>
        <w:t xml:space="preserve">At approximately SGD 200K ARR, extract FitDesk into a new entity (founder-owned 100%), quit current EP employment, and apply for EntrePass. This is the forward path to full ownership and active operation.</w:t>
      </w:r>
    </w:p>
    <w:p>
      <w:pPr>
        <w:spacing w:after="80"/>
      </w:pPr>
      <w:r>
        <w:t xml:space="preserve"/>
      </w:r>
    </w:p>
    <w:p>
      <w:pPr>
        <w:pStyle w:val="Heading2"/>
        <w:spacing w:after="160" w:before="280"/>
      </w:pPr>
      <w:r>
        <w:t xml:space="preserve">6.2 Execution sequence</w:t>
      </w:r>
    </w:p>
    <w:p>
      <w:pPr>
        <w:spacing w:after="120"/>
      </w:pPr>
      <w:r>
        <w:rPr>
          <w:b/>
          <w:bCs/>
        </w:rPr>
        <w:t xml:space="preserve">Step 1 — Shareholder conversation with Bramkrit co-shareholders.</w:t>
      </w:r>
    </w:p>
    <w:p>
      <w:pPr>
        <w:spacing w:after="120"/>
      </w:pPr>
      <w:r>
        <w:t xml:space="preserve">30-minute discussion. Agree in principle that Bramkrit acquires FitDesk as an asset; discuss any conditions (share issuance, veto rights, exit mechanism).</w:t>
      </w:r>
    </w:p>
    <w:p>
      <w:pPr>
        <w:spacing w:after="80"/>
      </w:pPr>
      <w:r>
        <w:t xml:space="preserve"/>
      </w:r>
    </w:p>
    <w:p>
      <w:pPr>
        <w:spacing w:after="120"/>
      </w:pPr>
      <w:r>
        <w:rPr>
          <w:b/>
          <w:bCs/>
        </w:rPr>
        <w:t xml:space="preserve">Step 2 — Engage Singapore corporate lawyer.</w:t>
      </w:r>
    </w:p>
    <w:p>
      <w:pPr>
        <w:spacing w:after="120"/>
      </w:pPr>
      <w:r>
        <w:t xml:space="preserve">Budget: SGD 1,500–3,000. Timeline: 2–3 weeks.</w:t>
      </w:r>
    </w:p>
    <w:p>
      <w:pPr>
        <w:spacing w:after="120"/>
      </w:pPr>
      <w:r>
        <w:t xml:space="preserve">Documents required:</w:t>
      </w:r>
    </w:p>
    <w:p>
      <w:pPr>
        <w:pStyle w:val="ListParagraph"/>
        <w:numPr>
          <w:ilvl w:val="0"/>
          <w:numId w:val="2"/>
        </w:numPr>
        <w:spacing w:after="80"/>
      </w:pPr>
      <w:r>
        <w:t xml:space="preserve">Board resolution of Bramkrit accepting the FitDesk IP contribution.</w:t>
      </w:r>
    </w:p>
    <w:p>
      <w:pPr>
        <w:pStyle w:val="ListParagraph"/>
        <w:numPr>
          <w:ilvl w:val="0"/>
          <w:numId w:val="2"/>
        </w:numPr>
        <w:spacing w:after="80"/>
      </w:pPr>
      <w:r>
        <w:t xml:space="preserve">IP Assignment Agreement from founder personally to Bramkrit (source code, domain fitdesk.pro, brand, Supabase project, Vercel, Meta Business Manager, any customer data).</w:t>
      </w:r>
    </w:p>
    <w:p>
      <w:pPr>
        <w:pStyle w:val="ListParagraph"/>
        <w:numPr>
          <w:ilvl w:val="0"/>
          <w:numId w:val="2"/>
        </w:numPr>
        <w:spacing w:after="80"/>
      </w:pPr>
      <w:r>
        <w:t xml:space="preserve">Share allotment documentation if founder receives additional shares as consideration.</w:t>
      </w:r>
    </w:p>
    <w:p>
      <w:pPr>
        <w:pStyle w:val="ListParagraph"/>
        <w:numPr>
          <w:ilvl w:val="0"/>
          <w:numId w:val="2"/>
        </w:numPr>
        <w:spacing w:after="80"/>
      </w:pPr>
      <w:r>
        <w:t xml:space="preserve">Updated shareholders' agreement if existing one doesn't cover this scenario.</w:t>
      </w:r>
    </w:p>
    <w:p>
      <w:pPr>
        <w:pStyle w:val="ListParagraph"/>
        <w:numPr>
          <w:ilvl w:val="0"/>
          <w:numId w:val="2"/>
        </w:numPr>
        <w:spacing w:after="80"/>
      </w:pPr>
      <w:r>
        <w:t xml:space="preserve">Recommended: founder's re-acquisition option — a clause giving the founder the unilateral right to buy FitDesk back from Bramkrit at a pre-agreed formula when specific conditions are met (e.g., EntrePass approval). Negotiate this now, when FitDesk is pre-revenue and the option has minimal current value.</w:t>
      </w:r>
    </w:p>
    <w:p>
      <w:pPr>
        <w:spacing w:after="80"/>
      </w:pPr>
      <w:r>
        <w:t xml:space="preserve"/>
      </w:r>
    </w:p>
    <w:p>
      <w:pPr>
        <w:spacing w:after="120"/>
      </w:pPr>
      <w:r>
        <w:rPr>
          <w:b/>
          <w:bCs/>
        </w:rPr>
        <w:t xml:space="preserve">Step 3 — Execute paperwork.</w:t>
      </w:r>
    </w:p>
    <w:p>
      <w:pPr>
        <w:spacing w:after="120"/>
      </w:pPr>
      <w:r>
        <w:t xml:space="preserve">All shareholders and director sign. Lawyer files any ACRA updates (including SSIC code 62019 for software development if not already on Bramkrit's activity list).</w:t>
      </w:r>
    </w:p>
    <w:p>
      <w:pPr>
        <w:spacing w:after="80"/>
      </w:pPr>
      <w:r>
        <w:t xml:space="preserve"/>
      </w:r>
    </w:p>
    <w:p>
      <w:pPr>
        <w:spacing w:after="120"/>
      </w:pPr>
      <w:r>
        <w:rPr>
          <w:b/>
          <w:bCs/>
        </w:rPr>
        <w:t xml:space="preserve">Step 4 — Operational transfer.</w:t>
      </w:r>
    </w:p>
    <w:p>
      <w:pPr>
        <w:spacing w:after="120"/>
      </w:pPr>
      <w:r>
        <w:t xml:space="preserve">Approximately 2 days of work:</w:t>
      </w:r>
    </w:p>
    <w:p>
      <w:pPr>
        <w:pStyle w:val="ListParagraph"/>
        <w:numPr>
          <w:ilvl w:val="0"/>
          <w:numId w:val="2"/>
        </w:numPr>
        <w:spacing w:after="80"/>
      </w:pPr>
      <w:r>
        <w:t xml:space="preserve">GitHub repo: transfer from personal account to Bramkrit-controlled org.</w:t>
      </w:r>
    </w:p>
    <w:p>
      <w:pPr>
        <w:pStyle w:val="ListParagraph"/>
        <w:numPr>
          <w:ilvl w:val="0"/>
          <w:numId w:val="2"/>
        </w:numPr>
        <w:spacing w:after="80"/>
      </w:pPr>
      <w:r>
        <w:t xml:space="preserve">Domain fitdesk.pro: transfer registration at Hostinger.</w:t>
      </w:r>
    </w:p>
    <w:p>
      <w:pPr>
        <w:pStyle w:val="ListParagraph"/>
        <w:numPr>
          <w:ilvl w:val="0"/>
          <w:numId w:val="2"/>
        </w:numPr>
        <w:spacing w:after="80"/>
      </w:pPr>
      <w:r>
        <w:t xml:space="preserve">Supabase project: transfer to Bramkrit-controlled org.</w:t>
      </w:r>
    </w:p>
    <w:p>
      <w:pPr>
        <w:pStyle w:val="ListParagraph"/>
        <w:numPr>
          <w:ilvl w:val="0"/>
          <w:numId w:val="2"/>
        </w:numPr>
        <w:spacing w:after="80"/>
      </w:pPr>
      <w:r>
        <w:t xml:space="preserve">Vercel deployment: transfer to Bramkrit team.</w:t>
      </w:r>
    </w:p>
    <w:p>
      <w:pPr>
        <w:pStyle w:val="ListParagraph"/>
        <w:numPr>
          <w:ilvl w:val="0"/>
          <w:numId w:val="2"/>
        </w:numPr>
        <w:spacing w:after="80"/>
      </w:pPr>
      <w:r>
        <w:t xml:space="preserve">Meta Business Manager: transfer to Bramkrit portfolio.</w:t>
      </w:r>
    </w:p>
    <w:p>
      <w:pPr>
        <w:pStyle w:val="ListParagraph"/>
        <w:numPr>
          <w:ilvl w:val="0"/>
          <w:numId w:val="2"/>
        </w:numPr>
        <w:spacing w:after="80"/>
      </w:pPr>
      <w:r>
        <w:t xml:space="preserve">All credentials rotated.</w:t>
      </w:r>
    </w:p>
    <w:p>
      <w:pPr>
        <w:spacing w:after="80"/>
      </w:pPr>
      <w:r>
        <w:t xml:space="preserve"/>
      </w:r>
    </w:p>
    <w:p>
      <w:pPr>
        <w:spacing w:after="120"/>
      </w:pPr>
      <w:r>
        <w:rPr>
          <w:b/>
          <w:bCs/>
        </w:rPr>
        <w:t xml:space="preserve">Step 5 — ACRA SSIC update.</w:t>
      </w:r>
    </w:p>
    <w:p>
      <w:pPr>
        <w:spacing w:after="120"/>
      </w:pPr>
      <w:r>
        <w:t xml:space="preserve">Via BizFile, add SSIC 62019 (Development of other software and programming activities). Cost SGD 40 or free bundled with other filings.</w:t>
      </w:r>
    </w:p>
    <w:p>
      <w:pPr>
        <w:spacing w:after="80"/>
      </w:pPr>
      <w:r>
        <w:t xml:space="preserve"/>
      </w:r>
    </w:p>
    <w:p>
      <w:pPr>
        <w:spacing w:after="120"/>
      </w:pPr>
      <w:r>
        <w:rPr>
          <w:b/>
          <w:bCs/>
        </w:rPr>
        <w:t xml:space="preserve">Step 6 — Operator decision.</w:t>
      </w:r>
    </w:p>
    <w:p>
      <w:pPr>
        <w:pStyle w:val="ListParagraph"/>
        <w:numPr>
          <w:ilvl w:val="0"/>
          <w:numId w:val="2"/>
        </w:numPr>
        <w:spacing w:after="80"/>
      </w:pPr>
      <w:r>
        <w:t xml:space="preserve">Option A: Bramkrit hires someone to operate FitDesk. Budget SGD 950–6,400/month depending on seniority.</w:t>
      </w:r>
    </w:p>
    <w:p>
      <w:pPr>
        <w:pStyle w:val="ListParagraph"/>
        <w:numPr>
          <w:ilvl w:val="0"/>
          <w:numId w:val="2"/>
        </w:numPr>
        <w:spacing w:after="80"/>
      </w:pPr>
      <w:r>
        <w:t xml:space="preserve">Option B: Keep FitDesk dormant under Bramkrit. No commercial launch until operator question is resolved (e.g., via EntrePass path).</w:t>
      </w:r>
    </w:p>
    <w:p>
      <w:pPr>
        <w:spacing w:after="80"/>
      </w:pPr>
      <w:r>
        <w:t xml:space="preserve"/>
      </w:r>
    </w:p>
    <w:p>
      <w:pPr>
        <w:spacing w:after="120"/>
      </w:pPr>
      <w:r>
        <w:rPr>
          <w:b/>
          <w:bCs/>
        </w:rPr>
        <w:t xml:space="preserve">Step 7 — Beta launch (free).</w:t>
      </w:r>
    </w:p>
    <w:p>
      <w:pPr>
        <w:spacing w:after="120"/>
      </w:pPr>
      <w:r>
        <w:t xml:space="preserve">Closed beta with 2–5 known PTs. No revenue. No commercial exposure. Validates product-market fit.</w:t>
      </w:r>
    </w:p>
    <w:p>
      <w:pPr>
        <w:spacing w:after="80"/>
      </w:pPr>
      <w:r>
        <w:t xml:space="preserve"/>
      </w:r>
    </w:p>
    <w:p>
      <w:pPr>
        <w:spacing w:after="120"/>
      </w:pPr>
      <w:r>
        <w:rPr>
          <w:b/>
          <w:bCs/>
        </w:rPr>
        <w:t xml:space="preserve">Step 8 — Commercial launch (once operator + product-market fit confirmed).</w:t>
      </w:r>
    </w:p>
    <w:p>
      <w:pPr>
        <w:spacing w:after="120"/>
      </w:pPr>
      <w:r>
        <w:t xml:space="preserve">Stripe live under Bramkrit. Public marketing. Paid subscriptions. Revenue flows to Bramkrit.</w:t>
      </w:r>
    </w:p>
    <w:p>
      <w:pPr>
        <w:spacing w:after="80"/>
      </w:pPr>
      <w:r>
        <w:t xml:space="preserve"/>
      </w:r>
    </w:p>
    <w:p>
      <w:pPr>
        <w:pStyle w:val="Heading2"/>
        <w:spacing w:after="160" w:before="280"/>
      </w:pPr>
      <w:r>
        <w:t xml:space="preserve">6.3 Realistic timeline</w:t>
      </w:r>
    </w:p>
    <w:p>
      <w:pPr>
        <w:pStyle w:val="ListParagraph"/>
        <w:numPr>
          <w:ilvl w:val="0"/>
          <w:numId w:val="2"/>
        </w:numPr>
        <w:spacing w:after="80"/>
      </w:pPr>
      <w:r>
        <w:t xml:space="preserve">Shareholder conversation: 30 minutes (this week).</w:t>
      </w:r>
    </w:p>
    <w:p>
      <w:pPr>
        <w:pStyle w:val="ListParagraph"/>
        <w:numPr>
          <w:ilvl w:val="0"/>
          <w:numId w:val="2"/>
        </w:numPr>
        <w:spacing w:after="80"/>
      </w:pPr>
      <w:r>
        <w:t xml:space="preserve">Lawyer engagement + paperwork: 3–4 weeks.</w:t>
      </w:r>
    </w:p>
    <w:p>
      <w:pPr>
        <w:pStyle w:val="ListParagraph"/>
        <w:numPr>
          <w:ilvl w:val="0"/>
          <w:numId w:val="2"/>
        </w:numPr>
        <w:spacing w:after="80"/>
      </w:pPr>
      <w:r>
        <w:t xml:space="preserve">Operational transfer: 2–3 days post-paperwork.</w:t>
      </w:r>
    </w:p>
    <w:p>
      <w:pPr>
        <w:pStyle w:val="ListParagraph"/>
        <w:numPr>
          <w:ilvl w:val="0"/>
          <w:numId w:val="2"/>
        </w:numPr>
        <w:spacing w:after="80"/>
      </w:pPr>
      <w:r>
        <w:t xml:space="preserve">Operator hire (if Option A): 4–8 weeks.</w:t>
      </w:r>
    </w:p>
    <w:p>
      <w:pPr>
        <w:pStyle w:val="ListParagraph"/>
        <w:numPr>
          <w:ilvl w:val="0"/>
          <w:numId w:val="2"/>
        </w:numPr>
        <w:spacing w:after="80"/>
      </w:pPr>
      <w:r>
        <w:t xml:space="preserve">End-to-end to commercial-ready under Bramkrit: 3–4 months.</w:t>
      </w:r>
    </w:p>
    <w:p>
      <w:pPr>
        <w:pStyle w:val="ListParagraph"/>
        <w:numPr>
          <w:ilvl w:val="0"/>
          <w:numId w:val="2"/>
        </w:numPr>
        <w:spacing w:after="80"/>
      </w:pPr>
      <w:r>
        <w:t xml:space="preserve">FitDesk to SGD 200K ARR and EntrePass application: 1–3 years, depending on beta outcome and growth rate.</w:t>
      </w:r>
    </w:p>
    <w:p>
      <w:r>
        <w:br w:type="page"/>
      </w:r>
    </w:p>
    <w:p>
      <w:pPr>
        <w:pStyle w:val="Heading1"/>
        <w:spacing w:after="200" w:before="360"/>
      </w:pPr>
      <w:r>
        <w:t xml:space="preserve">7. Critical Notes and Risks</w:t>
      </w:r>
    </w:p>
    <w:p>
      <w:pPr>
        <w:pStyle w:val="Heading2"/>
        <w:spacing w:after="160" w:before="280"/>
      </w:pPr>
      <w:r>
        <w:t xml:space="preserve">7.1 The binding constraint remains the founder's EP status</w:t>
      </w:r>
    </w:p>
    <w:p>
      <w:pPr>
        <w:spacing w:after="120"/>
      </w:pPr>
      <w:r>
        <w:t xml:space="preserve">No corporate structure removes it. Structures shape how the founder can own and benefit from FitDesk, but not whether the founder can actively operate it. The three paths out of the constraint:</w:t>
      </w:r>
    </w:p>
    <w:p>
      <w:pPr>
        <w:pStyle w:val="ListParagraph"/>
        <w:numPr>
          <w:ilvl w:val="0"/>
          <w:numId w:val="2"/>
        </w:numPr>
        <w:spacing w:after="80"/>
      </w:pPr>
      <w:r>
        <w:t xml:space="preserve">LOC from MOM (requires employer consent — the single highest-information action would be to confirm if LOC is realistically available for the founder's specific EP type and employer).</w:t>
      </w:r>
    </w:p>
    <w:p>
      <w:pPr>
        <w:pStyle w:val="ListParagraph"/>
        <w:numPr>
          <w:ilvl w:val="0"/>
          <w:numId w:val="2"/>
        </w:numPr>
        <w:spacing w:after="80"/>
      </w:pPr>
      <w:r>
        <w:t xml:space="preserve">Singapore Permanent Residence (PR) — timeline variable.</w:t>
      </w:r>
    </w:p>
    <w:p>
      <w:pPr>
        <w:pStyle w:val="ListParagraph"/>
        <w:numPr>
          <w:ilvl w:val="0"/>
          <w:numId w:val="2"/>
        </w:numPr>
        <w:spacing w:after="80"/>
      </w:pPr>
      <w:r>
        <w:t xml:space="preserve">EntrePass — available once FitDesk meets the criteria (typically SGD 50K+ paid-up capital + innovation/IP/traction evidence, ~SGD 200K ARR gives reasonable qualifying substance).</w:t>
      </w:r>
    </w:p>
    <w:p>
      <w:pPr>
        <w:spacing w:after="80"/>
      </w:pPr>
      <w:r>
        <w:t xml:space="preserve"/>
      </w:r>
    </w:p>
    <w:p>
      <w:pPr>
        <w:pStyle w:val="Heading2"/>
        <w:spacing w:after="160" w:before="280"/>
      </w:pPr>
      <w:r>
        <w:t xml:space="preserve">7.2 Employer consent is the upstream question</w:t>
      </w:r>
    </w:p>
    <w:p>
      <w:pPr>
        <w:spacing w:after="120"/>
      </w:pPr>
      <w:r>
        <w:t xml:space="preserve">The LOC path depends on employer consent. Before pursuing LOC:</w:t>
      </w:r>
    </w:p>
    <w:p>
      <w:pPr>
        <w:pStyle w:val="ListParagraph"/>
        <w:numPr>
          <w:ilvl w:val="0"/>
          <w:numId w:val="2"/>
        </w:numPr>
        <w:spacing w:after="80"/>
      </w:pPr>
      <w:r>
        <w:t xml:space="preserve">Review the employment contract for outside-activities/moonlighting clauses.</w:t>
      </w:r>
    </w:p>
    <w:p>
      <w:pPr>
        <w:pStyle w:val="ListParagraph"/>
        <w:numPr>
          <w:ilvl w:val="0"/>
          <w:numId w:val="2"/>
        </w:numPr>
        <w:spacing w:after="80"/>
      </w:pPr>
      <w:r>
        <w:t xml:space="preserve">If the clause is permissive or notification-only, LOC is likely workable.</w:t>
      </w:r>
    </w:p>
    <w:p>
      <w:pPr>
        <w:pStyle w:val="ListParagraph"/>
        <w:numPr>
          <w:ilvl w:val="0"/>
          <w:numId w:val="2"/>
        </w:numPr>
        <w:spacing w:after="80"/>
      </w:pPr>
      <w:r>
        <w:t xml:space="preserve">If the clause is prohibitive (full-time-and-attention clauses), LOC requires employer to grant a specific waiver or is effectively unavailable.</w:t>
      </w:r>
    </w:p>
    <w:p>
      <w:pPr>
        <w:spacing w:after="80"/>
      </w:pPr>
      <w:r>
        <w:t xml:space="preserve"/>
      </w:r>
    </w:p>
    <w:p>
      <w:pPr>
        <w:pStyle w:val="Heading2"/>
        <w:spacing w:after="160" w:before="280"/>
      </w:pPr>
      <w:r>
        <w:t xml:space="preserve">7.3 IP transfer to Bramkrit is a one-way door</w:t>
      </w:r>
    </w:p>
    <w:p>
      <w:pPr>
        <w:spacing w:after="120"/>
      </w:pPr>
      <w:r>
        <w:t xml:space="preserve">Once FitDesk IP is inside Bramkrit, other shareholders have legal claims on its value. Extracting it later requires:</w:t>
      </w:r>
    </w:p>
    <w:p>
      <w:pPr>
        <w:pStyle w:val="ListParagraph"/>
        <w:numPr>
          <w:ilvl w:val="0"/>
          <w:numId w:val="2"/>
        </w:numPr>
        <w:spacing w:after="80"/>
      </w:pPr>
      <w:r>
        <w:t xml:space="preserve">Shareholder consent.</w:t>
      </w:r>
    </w:p>
    <w:p>
      <w:pPr>
        <w:pStyle w:val="ListParagraph"/>
        <w:numPr>
          <w:ilvl w:val="0"/>
          <w:numId w:val="2"/>
        </w:numPr>
        <w:spacing w:after="80"/>
      </w:pPr>
      <w:r>
        <w:t xml:space="preserve">Fair-value transaction.</w:t>
      </w:r>
    </w:p>
    <w:p>
      <w:pPr>
        <w:pStyle w:val="ListParagraph"/>
        <w:numPr>
          <w:ilvl w:val="0"/>
          <w:numId w:val="2"/>
        </w:numPr>
        <w:spacing w:after="80"/>
      </w:pPr>
      <w:r>
        <w:t xml:space="preserve">Likely lawyer involvement and negotiation.</w:t>
      </w:r>
    </w:p>
    <w:p>
      <w:pPr>
        <w:spacing w:after="120"/>
      </w:pPr>
      <w:r>
        <w:t xml:space="preserve">Mitigation: include a founder's re-acquisition option in the shareholders' agreement at the time of transfer, defining buyout terms in advance (before FitDesk has meaningful value).</w:t>
      </w:r>
    </w:p>
    <w:p>
      <w:pPr>
        <w:spacing w:after="80"/>
      </w:pPr>
      <w:r>
        <w:t xml:space="preserve"/>
      </w:r>
    </w:p>
    <w:p>
      <w:pPr>
        <w:pStyle w:val="Heading2"/>
        <w:spacing w:after="160" w:before="280"/>
      </w:pPr>
      <w:r>
        <w:t xml:space="preserve">7.4 Substance-over-form applies to every option</w:t>
      </w:r>
    </w:p>
    <w:p>
      <w:pPr>
        <w:spacing w:after="120"/>
      </w:pPr>
      <w:r>
        <w:t xml:space="preserve">MOM, IRAS, and IRD (Hong Kong) all look at operational reality, not paperwork. The founder's GitHub commits, development environment, customer communications, and decision-making all establish where the business is actually run. No foreign incorporation flag changes this assessment.</w:t>
      </w:r>
    </w:p>
    <w:p>
      <w:pPr>
        <w:spacing w:after="80"/>
      </w:pPr>
      <w:r>
        <w:t xml:space="preserve"/>
      </w:r>
    </w:p>
    <w:p>
      <w:pPr>
        <w:pStyle w:val="Heading2"/>
        <w:spacing w:after="160" w:before="280"/>
      </w:pPr>
      <w:r>
        <w:t xml:space="preserve">7.5 Beta can proceed without resolving any structure question</w:t>
      </w:r>
    </w:p>
    <w:p>
      <w:pPr>
        <w:spacing w:after="120"/>
      </w:pPr>
      <w:r>
        <w:t xml:space="preserve">A free, closed beta with 2–5 known PTs does not require any commercial entity, LOC, or verification. No money changes hands, so no regulated activity occurs. This path is available today and proves product-market fit at zero legal cost.</w:t>
      </w:r>
    </w:p>
    <w:p>
      <w:r>
        <w:br w:type="page"/>
      </w:r>
    </w:p>
    <w:p>
      <w:pPr>
        <w:pStyle w:val="Heading1"/>
        <w:spacing w:after="200" w:before="360"/>
      </w:pPr>
      <w:r>
        <w:t xml:space="preserve">8. Glossary</w:t>
      </w:r>
    </w:p>
    <w:p>
      <w:pPr>
        <w:spacing w:after="120"/>
      </w:pPr>
      <w:r>
        <w:rPr>
          <w:b/>
          <w:bCs/>
        </w:rPr>
        <w:t xml:space="preserve">ACRA — </w:t>
      </w:r>
      <w:r>
        <w:t xml:space="preserve">Accounting and Corporate Regulatory Authority. Singapore's company registrar.</w:t>
      </w:r>
    </w:p>
    <w:p>
      <w:pPr>
        <w:spacing w:after="120"/>
      </w:pPr>
      <w:r>
        <w:rPr>
          <w:b/>
          <w:bCs/>
        </w:rPr>
        <w:t xml:space="preserve">ARR — </w:t>
      </w:r>
      <w:r>
        <w:t xml:space="preserve">Annual Recurring Revenue.</w:t>
      </w:r>
    </w:p>
    <w:p>
      <w:pPr>
        <w:spacing w:after="120"/>
      </w:pPr>
      <w:r>
        <w:rPr>
          <w:b/>
          <w:bCs/>
        </w:rPr>
        <w:t xml:space="preserve">DTAA — </w:t>
      </w:r>
      <w:r>
        <w:t xml:space="preserve">Double Taxation Avoidance Agreement. Bilateral tax treaty preventing income from being taxed twice.</w:t>
      </w:r>
    </w:p>
    <w:p>
      <w:pPr>
        <w:spacing w:after="120"/>
      </w:pPr>
      <w:r>
        <w:rPr>
          <w:b/>
          <w:bCs/>
        </w:rPr>
        <w:t xml:space="preserve">EntrePass — </w:t>
      </w:r>
      <w:r>
        <w:t xml:space="preserve">Singapore work pass specifically for foreign entrepreneurs running qualifying Singapore businesses.</w:t>
      </w:r>
    </w:p>
    <w:p>
      <w:pPr>
        <w:spacing w:after="120"/>
      </w:pPr>
      <w:r>
        <w:rPr>
          <w:b/>
          <w:bCs/>
        </w:rPr>
        <w:t xml:space="preserve">EP — </w:t>
      </w:r>
      <w:r>
        <w:t xml:space="preserve">Employment Pass. Singapore's primary work pass for foreign professionals, tied to a sponsoring employer.</w:t>
      </w:r>
    </w:p>
    <w:p>
      <w:pPr>
        <w:spacing w:after="120"/>
      </w:pPr>
      <w:r>
        <w:rPr>
          <w:b/>
          <w:bCs/>
        </w:rPr>
        <w:t xml:space="preserve">FEMA — </w:t>
      </w:r>
      <w:r>
        <w:t xml:space="preserve">Foreign Exchange Management Act (India). Regulates cross-border financial flows.</w:t>
      </w:r>
    </w:p>
    <w:p>
      <w:pPr>
        <w:spacing w:after="120"/>
      </w:pPr>
      <w:r>
        <w:rPr>
          <w:b/>
          <w:bCs/>
        </w:rPr>
        <w:t xml:space="preserve">FIRC — </w:t>
      </w:r>
      <w:r>
        <w:t xml:space="preserve">Foreign Inward Remittance Certificate. Indian bank document evidencing foreign currency receipt.</w:t>
      </w:r>
    </w:p>
    <w:p>
      <w:pPr>
        <w:spacing w:after="120"/>
      </w:pPr>
      <w:r>
        <w:rPr>
          <w:b/>
          <w:bCs/>
        </w:rPr>
        <w:t xml:space="preserve">GST — </w:t>
      </w:r>
      <w:r>
        <w:t xml:space="preserve">Goods and Services Tax. Singapore's consumption tax, currently 9%, mandatory registration above SGD 1M turnover.</w:t>
      </w:r>
    </w:p>
    <w:p>
      <w:pPr>
        <w:spacing w:after="120"/>
      </w:pPr>
      <w:r>
        <w:rPr>
          <w:b/>
          <w:bCs/>
        </w:rPr>
        <w:t xml:space="preserve">IRAS — </w:t>
      </w:r>
      <w:r>
        <w:t xml:space="preserve">Inland Revenue Authority of Singapore. Tax administrator.</w:t>
      </w:r>
    </w:p>
    <w:p>
      <w:pPr>
        <w:spacing w:after="120"/>
      </w:pPr>
      <w:r>
        <w:rPr>
          <w:b/>
          <w:bCs/>
        </w:rPr>
        <w:t xml:space="preserve">IRD — </w:t>
      </w:r>
      <w:r>
        <w:t xml:space="preserve">Inland Revenue Department (Hong Kong). Tax administrator.</w:t>
      </w:r>
    </w:p>
    <w:p>
      <w:pPr>
        <w:spacing w:after="120"/>
      </w:pPr>
      <w:r>
        <w:rPr>
          <w:b/>
          <w:bCs/>
        </w:rPr>
        <w:t xml:space="preserve">KYC — </w:t>
      </w:r>
      <w:r>
        <w:t xml:space="preserve">Know Your Customer. Bank verification process.</w:t>
      </w:r>
    </w:p>
    <w:p>
      <w:pPr>
        <w:spacing w:after="120"/>
      </w:pPr>
      <w:r>
        <w:rPr>
          <w:b/>
          <w:bCs/>
        </w:rPr>
        <w:t xml:space="preserve">LOC — </w:t>
      </w:r>
      <w:r>
        <w:t xml:space="preserve">Letter of Consent. MOM authorisation for EP holder to engage in side business or secondary employment.</w:t>
      </w:r>
    </w:p>
    <w:p>
      <w:pPr>
        <w:spacing w:after="120"/>
      </w:pPr>
      <w:r>
        <w:rPr>
          <w:b/>
          <w:bCs/>
        </w:rPr>
        <w:t xml:space="preserve">MOM — </w:t>
      </w:r>
      <w:r>
        <w:t xml:space="preserve">Ministry of Manpower (Singapore). Regulator of work passes and employment.</w:t>
      </w:r>
    </w:p>
    <w:p>
      <w:pPr>
        <w:spacing w:after="120"/>
      </w:pPr>
      <w:r>
        <w:rPr>
          <w:b/>
          <w:bCs/>
        </w:rPr>
        <w:t xml:space="preserve">MRR — </w:t>
      </w:r>
      <w:r>
        <w:t xml:space="preserve">Monthly Recurring Revenue.</w:t>
      </w:r>
    </w:p>
    <w:p>
      <w:pPr>
        <w:spacing w:after="120"/>
      </w:pPr>
      <w:r>
        <w:rPr>
          <w:b/>
          <w:bCs/>
        </w:rPr>
        <w:t xml:space="preserve">NRI — </w:t>
      </w:r>
      <w:r>
        <w:t xml:space="preserve">Non-Resident Indian. Indian tax status for citizens residing outside India.</w:t>
      </w:r>
    </w:p>
    <w:p>
      <w:pPr>
        <w:spacing w:after="120"/>
      </w:pPr>
      <w:r>
        <w:rPr>
          <w:b/>
          <w:bCs/>
        </w:rPr>
        <w:t xml:space="preserve">OÜ — </w:t>
      </w:r>
      <w:r>
        <w:t xml:space="preserve">Osaühing. Estonian private limited company.</w:t>
      </w:r>
    </w:p>
    <w:p>
      <w:pPr>
        <w:spacing w:after="120"/>
      </w:pPr>
      <w:r>
        <w:rPr>
          <w:b/>
          <w:bCs/>
        </w:rPr>
        <w:t xml:space="preserve">PDPA — </w:t>
      </w:r>
      <w:r>
        <w:t xml:space="preserve">Personal Data Protection Act (Singapore). Data privacy law.</w:t>
      </w:r>
    </w:p>
    <w:p>
      <w:pPr>
        <w:spacing w:after="120"/>
      </w:pPr>
      <w:r>
        <w:rPr>
          <w:b/>
          <w:bCs/>
        </w:rPr>
        <w:t xml:space="preserve">POEM — </w:t>
      </w:r>
      <w:r>
        <w:t xml:space="preserve">Place of Effective Management. Test used by tax authorities to determine a company's tax residency based on where real management happens.</w:t>
      </w:r>
    </w:p>
    <w:p>
      <w:pPr>
        <w:spacing w:after="120"/>
      </w:pPr>
      <w:r>
        <w:rPr>
          <w:b/>
          <w:bCs/>
        </w:rPr>
        <w:t xml:space="preserve">PR — </w:t>
      </w:r>
      <w:r>
        <w:t xml:space="preserve">Permanent Residence / Resident.</w:t>
      </w:r>
    </w:p>
    <w:p>
      <w:pPr>
        <w:spacing w:after="120"/>
      </w:pPr>
      <w:r>
        <w:rPr>
          <w:b/>
          <w:bCs/>
        </w:rPr>
        <w:t xml:space="preserve">Pte Ltd — </w:t>
      </w:r>
      <w:r>
        <w:t xml:space="preserve">Private Limited. Singapore's standard private company form.</w:t>
      </w:r>
    </w:p>
    <w:p>
      <w:pPr>
        <w:spacing w:after="120"/>
      </w:pPr>
      <w:r>
        <w:rPr>
          <w:b/>
          <w:bCs/>
        </w:rPr>
        <w:t xml:space="preserve">RBI — </w:t>
      </w:r>
      <w:r>
        <w:t xml:space="preserve">Reserve Bank of India. Central bank.</w:t>
      </w:r>
    </w:p>
    <w:p>
      <w:pPr>
        <w:spacing w:after="120"/>
      </w:pPr>
      <w:r>
        <w:rPr>
          <w:b/>
          <w:bCs/>
        </w:rPr>
        <w:t xml:space="preserve">ROC — </w:t>
      </w:r>
      <w:r>
        <w:t xml:space="preserve">Registrar of Companies (India).</w:t>
      </w:r>
    </w:p>
    <w:p>
      <w:pPr>
        <w:spacing w:after="120"/>
      </w:pPr>
      <w:r>
        <w:rPr>
          <w:b/>
          <w:bCs/>
        </w:rPr>
        <w:t xml:space="preserve">SSIC — </w:t>
      </w:r>
      <w:r>
        <w:t xml:space="preserve">Singapore Standard Industrial Classification. Codes identifying business activities.</w:t>
      </w:r>
    </w:p>
    <w:p>
      <w:pPr>
        <w:spacing w:after="120"/>
      </w:pPr>
      <w:r>
        <w:rPr>
          <w:b/>
          <w:bCs/>
        </w:rPr>
        <w:t xml:space="preserve">UEN — </w:t>
      </w:r>
      <w:r>
        <w:t xml:space="preserve">Unique Entity Number. Identifier for Singapore-registered entities.</w:t>
      </w:r>
    </w:p>
    <w:p>
      <w:pPr>
        <w:spacing w:after="80"/>
      </w:pPr>
      <w:r>
        <w:t xml:space="preserve"/>
      </w:r>
    </w:p>
    <w:p>
      <w:pPr>
        <w:pStyle w:val="Heading1"/>
        <w:spacing w:after="200" w:before="360"/>
      </w:pPr>
      <w:r>
        <w:t xml:space="preserve">Document Scope and Limitations</w:t>
      </w:r>
    </w:p>
    <w:p>
      <w:pPr>
        <w:spacing w:after="120"/>
      </w:pPr>
      <w:r>
        <w:t xml:space="preserve">This document summarises discussions held and decisions recorded to date. It is not legal, tax, or immigration advice. Specific actions — including IP transfer, shareholder resolutions, LOC applications, and entity formation — should be executed with qualified Singapore corporate and employment counsel.</w:t>
      </w:r>
    </w:p>
    <w:p>
      <w:pPr>
        <w:spacing w:after="120"/>
      </w:pPr>
      <w:r>
        <w:t xml:space="preserve">Figures and rates are indicative as of the date of preparation and subject to change. Tax treatments, MOM policies, and corporate requirements evolve; verify current rules before executing any action.</w:t>
      </w:r>
    </w:p>
    <w:p>
      <w:pPr>
        <w:spacing w:after="80"/>
      </w:pPr>
      <w:r>
        <w:t xml:space="preserve"/>
      </w:r>
    </w:p>
    <w:p>
      <w:pPr>
        <w:spacing w:before="400"/>
        <w:jc w:val="center"/>
      </w:pPr>
      <w:r>
        <w:rPr>
          <w:i/>
          <w:iCs/>
          <w:color w:val="666666"/>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8"/>
        <w:szCs w:val="18"/>
      </w:rPr>
      <w:t xml:space="preserve">FitDesk — Business Structure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FitDesk — Business Structure &amp; Operational Options</dc:title>
  <dc:creator>Claude</dc:creator>
  <dc:description>Strategic review of entity, jurisdiction, and operator options for FitDesk</dc:description>
  <cp:lastModifiedBy>Un-named</cp:lastModifiedBy>
  <cp:revision>1</cp:revision>
  <dcterms:created xsi:type="dcterms:W3CDTF">2026-04-19T06:07:34.000Z</dcterms:created>
  <dcterms:modified xsi:type="dcterms:W3CDTF">2026-04-19T06:07:34.000Z</dcterms:modified>
</cp:coreProperties>
</file>

<file path=docProps/custom.xml><?xml version="1.0" encoding="utf-8"?>
<Properties xmlns="http://schemas.openxmlformats.org/officeDocument/2006/custom-properties" xmlns:vt="http://schemas.openxmlformats.org/officeDocument/2006/docPropsVTypes"/>
</file>