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5F01FB" w14:textId="77777777" w:rsidR="00DA2BA9" w:rsidRDefault="00000000">
      <w:pPr>
        <w:widowControl w:val="0"/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5: Sampling</w:t>
      </w:r>
    </w:p>
    <w:p w14:paraId="62DBAEB5" w14:textId="77777777" w:rsidR="00DA2BA9" w:rsidRDefault="00000000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Lesson 5: Sampling Ethics and Equity</w:t>
      </w:r>
    </w:p>
    <w:p w14:paraId="20CA3C42" w14:textId="77777777" w:rsidR="00DA2BA9" w:rsidRDefault="00000000">
      <w:pPr>
        <w:widowControl w:val="0"/>
        <w:spacing w:after="120" w:line="240" w:lineRule="auto"/>
      </w:pPr>
      <w:r>
        <w:rPr>
          <w:b/>
        </w:rPr>
        <w:t>Estimated Time</w:t>
      </w:r>
      <w:r>
        <w:t>: 4.5 hours (plus final assessment)</w:t>
      </w:r>
    </w:p>
    <w:p w14:paraId="0976760A" w14:textId="77777777" w:rsidR="00DA2BA9" w:rsidRDefault="00000000">
      <w:pPr>
        <w:widowControl w:val="0"/>
        <w:spacing w:after="120" w:line="240" w:lineRule="auto"/>
      </w:pPr>
      <w:r>
        <w:rPr>
          <w:b/>
        </w:rPr>
        <w:t xml:space="preserve">Concepts: </w:t>
      </w:r>
      <w:r>
        <w:t>data privacy; de-identification; respondent burden; external validity; race and equity</w:t>
      </w:r>
    </w:p>
    <w:p w14:paraId="209B0ABE" w14:textId="77777777" w:rsidR="00DA2BA9" w:rsidRDefault="00000000">
      <w:pPr>
        <w:widowControl w:val="0"/>
        <w:spacing w:after="120" w:line="240" w:lineRule="auto"/>
      </w:pPr>
      <w:r>
        <w:rPr>
          <w:b/>
        </w:rPr>
        <w:t>Lesson Description</w:t>
      </w:r>
      <w:r>
        <w:t>: This lesson examines working with survey data and sample estimates in and ethical and equitable manner. We conclude with the final assessment.</w:t>
      </w:r>
    </w:p>
    <w:p w14:paraId="76F7DBD5" w14:textId="77777777" w:rsidR="00DA2BA9" w:rsidRDefault="00000000">
      <w:pPr>
        <w:widowControl w:val="0"/>
        <w:spacing w:after="120" w:line="240" w:lineRule="auto"/>
      </w:pPr>
      <w:r>
        <w:rPr>
          <w:b/>
        </w:rPr>
        <w:t>Instructor Preparation</w:t>
      </w:r>
      <w:r>
        <w:t>: Look over slides, read core texts, review literature on Canadian and US census and race</w:t>
      </w:r>
    </w:p>
    <w:tbl>
      <w:tblPr>
        <w:tblStyle w:val="a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60"/>
        <w:gridCol w:w="5440"/>
      </w:tblGrid>
      <w:tr w:rsidR="00DA2BA9" w14:paraId="40E80831" w14:textId="77777777">
        <w:trPr>
          <w:jc w:val="center"/>
        </w:trPr>
        <w:tc>
          <w:tcPr>
            <w:tcW w:w="5360" w:type="dxa"/>
          </w:tcPr>
          <w:p w14:paraId="1DB97F27" w14:textId="77777777" w:rsidR="00DA2BA9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5440" w:type="dxa"/>
          </w:tcPr>
          <w:p w14:paraId="704FCFE9" w14:textId="77777777" w:rsidR="00DA2BA9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DA2BA9" w14:paraId="4EB6394E" w14:textId="77777777">
        <w:trPr>
          <w:jc w:val="center"/>
        </w:trPr>
        <w:tc>
          <w:tcPr>
            <w:tcW w:w="5360" w:type="dxa"/>
          </w:tcPr>
          <w:p w14:paraId="208F24E2" w14:textId="2EFA398F" w:rsidR="00DA2BA9" w:rsidRDefault="00605E45">
            <w:pPr>
              <w:numPr>
                <w:ilvl w:val="0"/>
                <w:numId w:val="10"/>
              </w:numPr>
              <w:spacing w:before="60" w:line="240" w:lineRule="auto"/>
            </w:pPr>
            <w:r>
              <w:t>S</w:t>
            </w:r>
            <w:r w:rsidR="00000000">
              <w:t>lides</w:t>
            </w:r>
          </w:p>
          <w:p w14:paraId="2E86A6DA" w14:textId="77777777" w:rsidR="00DA2BA9" w:rsidRDefault="00000000">
            <w:pPr>
              <w:numPr>
                <w:ilvl w:val="0"/>
                <w:numId w:val="10"/>
              </w:numPr>
              <w:spacing w:line="240" w:lineRule="auto"/>
            </w:pPr>
            <w:r>
              <w:t>Core texts</w:t>
            </w:r>
          </w:p>
          <w:p w14:paraId="7EBBCE3C" w14:textId="77777777" w:rsidR="00DA2BA9" w:rsidRDefault="00000000">
            <w:pPr>
              <w:widowControl w:val="0"/>
              <w:numPr>
                <w:ilvl w:val="1"/>
                <w:numId w:val="10"/>
              </w:numPr>
            </w:pPr>
            <w:r>
              <w:t xml:space="preserve">Salganik, M. (2019). Understanding and managing informational risk. In </w:t>
            </w:r>
            <w:r>
              <w:rPr>
                <w:i/>
              </w:rPr>
              <w:t>Bit by bit: Social research in the Digital age</w:t>
            </w:r>
            <w:r>
              <w:t xml:space="preserve"> (pp. 307–314). Chapter, Princeton University Press. </w:t>
            </w:r>
          </w:p>
          <w:p w14:paraId="05E3DA39" w14:textId="77777777" w:rsidR="00DA2BA9" w:rsidRDefault="00000000">
            <w:pPr>
              <w:widowControl w:val="0"/>
              <w:numPr>
                <w:ilvl w:val="1"/>
                <w:numId w:val="10"/>
              </w:numPr>
            </w:pPr>
            <w:r>
              <w:rPr>
                <w:color w:val="1F1F1F"/>
                <w:highlight w:val="white"/>
              </w:rPr>
              <w:t xml:space="preserve">Wood, A., Altman, M., Bembenek, A., Bun, M., Gaboardi, M., Honaker, J., Nissim, K., OBrien, D.R., Steinke, T., &amp; Vadhan, S. (2018). </w:t>
            </w:r>
            <w:hyperlink r:id="rId7">
              <w:r>
                <w:rPr>
                  <w:color w:val="1155CC"/>
                  <w:highlight w:val="white"/>
                  <w:u w:val="single"/>
                </w:rPr>
                <w:t>Differential privacy: A primer for a non-technical audience</w:t>
              </w:r>
            </w:hyperlink>
            <w:r>
              <w:rPr>
                <w:color w:val="1F1F1F"/>
                <w:highlight w:val="white"/>
              </w:rPr>
              <w:t xml:space="preserve">. </w:t>
            </w:r>
            <w:r>
              <w:rPr>
                <w:i/>
                <w:color w:val="1F1F1F"/>
                <w:highlight w:val="white"/>
              </w:rPr>
              <w:t xml:space="preserve">Vanderbilt Journal of Entertainment &amp; Technology Law, </w:t>
            </w:r>
            <w:r>
              <w:rPr>
                <w:color w:val="1F1F1F"/>
                <w:highlight w:val="white"/>
              </w:rPr>
              <w:t>21(1) 209-275.</w:t>
            </w:r>
          </w:p>
          <w:p w14:paraId="11376AF1" w14:textId="77777777" w:rsidR="00DA2BA9" w:rsidRDefault="00000000">
            <w:pPr>
              <w:widowControl w:val="0"/>
              <w:numPr>
                <w:ilvl w:val="1"/>
                <w:numId w:val="10"/>
              </w:numPr>
            </w:pPr>
            <w:r>
              <w:rPr>
                <w:highlight w:val="white"/>
              </w:rPr>
              <w:t xml:space="preserve">Peter Bacchetti, Leslie E. Wolf, Mark R. Segal, Charles E. McCulloch, Ethics and Sample Size, </w:t>
            </w:r>
            <w:r>
              <w:rPr>
                <w:i/>
                <w:highlight w:val="white"/>
              </w:rPr>
              <w:t>American Journal of Epidemiology</w:t>
            </w:r>
            <w:r>
              <w:rPr>
                <w:highlight w:val="white"/>
              </w:rPr>
              <w:t xml:space="preserve">, Volume 161, Issue 2, 15 January 2005, Pages 105–110, </w:t>
            </w:r>
            <w:hyperlink r:id="rId8">
              <w:r>
                <w:rPr>
                  <w:highlight w:val="white"/>
                </w:rPr>
                <w:t>https://doi.org/10.1093/aje/kwi014</w:t>
              </w:r>
            </w:hyperlink>
          </w:p>
          <w:p w14:paraId="160E55CD" w14:textId="77777777" w:rsidR="00DA2BA9" w:rsidRDefault="00000000">
            <w:pPr>
              <w:widowControl w:val="0"/>
              <w:numPr>
                <w:ilvl w:val="1"/>
                <w:numId w:val="10"/>
              </w:numPr>
            </w:pPr>
            <w:r>
              <w:t xml:space="preserve">Patrick Dattalo, Ethical Dilemmas in Sampling, </w:t>
            </w:r>
            <w:r>
              <w:rPr>
                <w:i/>
              </w:rPr>
              <w:t>Journal of Social Work Values and Ethics</w:t>
            </w:r>
            <w:r>
              <w:t xml:space="preserve">, Volume 7, Issue 1, 2010, </w:t>
            </w:r>
            <w:hyperlink r:id="rId9">
              <w:r>
                <w:rPr>
                  <w:color w:val="0097A7"/>
                  <w:u w:val="single"/>
                </w:rPr>
                <w:t>https://jswve.org/download/2010-1/2dattalo-Ethical-dilemmas-in-sampling.pdf</w:t>
              </w:r>
            </w:hyperlink>
          </w:p>
          <w:p w14:paraId="3EFE606E" w14:textId="77777777" w:rsidR="00DA2BA9" w:rsidRDefault="00000000">
            <w:pPr>
              <w:widowControl w:val="0"/>
              <w:numPr>
                <w:ilvl w:val="1"/>
                <w:numId w:val="10"/>
              </w:numPr>
            </w:pPr>
            <w:r>
              <w:rPr>
                <w:highlight w:val="white"/>
              </w:rPr>
              <w:t xml:space="preserve">Bornstein, M. H., Jager, J., &amp; Putnick, D. L. (2013). Sampling in Developmental Science: Situations, Shortcomings, Solutions, and Standards. </w:t>
            </w:r>
            <w:r>
              <w:rPr>
                <w:i/>
                <w:highlight w:val="white"/>
              </w:rPr>
              <w:t xml:space="preserve">Developmental review : </w:t>
            </w:r>
            <w:r>
              <w:rPr>
                <w:i/>
                <w:highlight w:val="white"/>
              </w:rPr>
              <w:lastRenderedPageBreak/>
              <w:t>DR</w:t>
            </w:r>
            <w:r>
              <w:rPr>
                <w:highlight w:val="white"/>
              </w:rPr>
              <w:t xml:space="preserve">, </w:t>
            </w:r>
            <w:r>
              <w:rPr>
                <w:i/>
                <w:highlight w:val="white"/>
              </w:rPr>
              <w:t>33</w:t>
            </w:r>
            <w:r>
              <w:rPr>
                <w:highlight w:val="white"/>
              </w:rPr>
              <w:t xml:space="preserve">(4), 357–370. </w:t>
            </w:r>
            <w:hyperlink r:id="rId10">
              <w:r>
                <w:rPr>
                  <w:color w:val="1155CC"/>
                  <w:highlight w:val="white"/>
                  <w:u w:val="single"/>
                </w:rPr>
                <w:t>https://doi.org/10.1016/j.dr.2013.08.003</w:t>
              </w:r>
            </w:hyperlink>
          </w:p>
          <w:p w14:paraId="3FC63653" w14:textId="77777777" w:rsidR="00DA2BA9" w:rsidRDefault="00000000">
            <w:pPr>
              <w:widowControl w:val="0"/>
              <w:numPr>
                <w:ilvl w:val="1"/>
                <w:numId w:val="10"/>
              </w:numPr>
              <w:spacing w:after="200"/>
              <w:rPr>
                <w:highlight w:val="white"/>
              </w:rPr>
            </w:pPr>
            <w:r>
              <w:rPr>
                <w:color w:val="262626"/>
                <w:highlight w:val="white"/>
              </w:rPr>
              <w:t xml:space="preserve">James, A. (2008). Making Sense of Race and Racial Classification. In T. Zuberi &amp; E. Bonilla-Silva (Eds.), </w:t>
            </w:r>
            <w:r>
              <w:rPr>
                <w:i/>
                <w:color w:val="262626"/>
                <w:highlight w:val="white"/>
              </w:rPr>
              <w:t xml:space="preserve">White logic, white methods : Racism and methodology </w:t>
            </w:r>
            <w:r>
              <w:rPr>
                <w:color w:val="262626"/>
                <w:highlight w:val="white"/>
              </w:rPr>
              <w:t>(pp. 31-45). Rowman &amp; Littlefield Publishers.</w:t>
            </w:r>
          </w:p>
          <w:p w14:paraId="321EEA3E" w14:textId="77777777" w:rsidR="00DA2BA9" w:rsidRDefault="00000000">
            <w:pPr>
              <w:widowControl w:val="0"/>
              <w:numPr>
                <w:ilvl w:val="1"/>
                <w:numId w:val="10"/>
              </w:numPr>
              <w:rPr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Harnois, C. (2018). Analyzing race and ethnicity with the GSS. In </w:t>
            </w:r>
            <w:r>
              <w:rPr>
                <w:i/>
                <w:color w:val="333333"/>
                <w:highlight w:val="white"/>
              </w:rPr>
              <w:t>Analyzing inequalities: An introduction to race, class, gender, and sexuality using the general social survey</w:t>
            </w:r>
            <w:r>
              <w:rPr>
                <w:color w:val="333333"/>
                <w:highlight w:val="white"/>
              </w:rPr>
              <w:t xml:space="preserve"> (pp. 65-96). SAGE Publications, Inc., </w:t>
            </w:r>
            <w:hyperlink r:id="rId11">
              <w:r>
                <w:rPr>
                  <w:color w:val="0097A7"/>
                  <w:highlight w:val="white"/>
                  <w:u w:val="single"/>
                </w:rPr>
                <w:t>https://dx.doi.org/</w:t>
              </w:r>
            </w:hyperlink>
          </w:p>
          <w:p w14:paraId="670D0910" w14:textId="77777777" w:rsidR="00DA2BA9" w:rsidRDefault="00000000">
            <w:pPr>
              <w:widowControl w:val="0"/>
              <w:numPr>
                <w:ilvl w:val="1"/>
                <w:numId w:val="10"/>
              </w:numPr>
              <w:rPr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Ashok, S. (2016, August 27). The rise of the American ‘Others’. The Atlantic. </w:t>
            </w:r>
            <w:hyperlink r:id="rId12">
              <w:r>
                <w:rPr>
                  <w:color w:val="0097A7"/>
                  <w:highlight w:val="white"/>
                  <w:u w:val="single"/>
                </w:rPr>
                <w:t>https://www.theatlantic.com/politics/archive/2016/08/the-rise-of-the-others/497690/</w:t>
              </w:r>
            </w:hyperlink>
          </w:p>
          <w:p w14:paraId="7A21A205" w14:textId="77777777" w:rsidR="00DA2BA9" w:rsidRDefault="00000000">
            <w:pPr>
              <w:widowControl w:val="0"/>
              <w:numPr>
                <w:ilvl w:val="1"/>
                <w:numId w:val="10"/>
              </w:numPr>
              <w:rPr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Krause, H. (2021, August 27). We need to fill in the blanks in our social identity data. </w:t>
            </w:r>
            <w:r>
              <w:rPr>
                <w:i/>
                <w:color w:val="333333"/>
                <w:highlight w:val="white"/>
              </w:rPr>
              <w:t>We All Count</w:t>
            </w:r>
            <w:r>
              <w:rPr>
                <w:color w:val="333333"/>
                <w:highlight w:val="white"/>
              </w:rPr>
              <w:t xml:space="preserve">. </w:t>
            </w:r>
            <w:hyperlink r:id="rId13">
              <w:r>
                <w:rPr>
                  <w:color w:val="0097A7"/>
                  <w:highlight w:val="white"/>
                  <w:u w:val="single"/>
                </w:rPr>
                <w:t>https://weallcount.com/2021/08/27/we-need-to-fill-in-the-blanks-in-our-social-identity-data/</w:t>
              </w:r>
            </w:hyperlink>
          </w:p>
          <w:p w14:paraId="775199A4" w14:textId="77777777" w:rsidR="00DA2BA9" w:rsidRDefault="00000000">
            <w:pPr>
              <w:widowControl w:val="0"/>
              <w:numPr>
                <w:ilvl w:val="1"/>
                <w:numId w:val="10"/>
              </w:numPr>
              <w:rPr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Krause, H. (2020, December 4). No one is an asterisk. </w:t>
            </w:r>
            <w:r>
              <w:rPr>
                <w:i/>
                <w:color w:val="333333"/>
                <w:highlight w:val="white"/>
              </w:rPr>
              <w:t>We All Count</w:t>
            </w:r>
            <w:r>
              <w:rPr>
                <w:color w:val="333333"/>
                <w:highlight w:val="white"/>
              </w:rPr>
              <w:t xml:space="preserve">. </w:t>
            </w:r>
            <w:hyperlink r:id="rId14">
              <w:r>
                <w:rPr>
                  <w:color w:val="0097A7"/>
                  <w:highlight w:val="white"/>
                  <w:u w:val="single"/>
                </w:rPr>
                <w:t>https://weallcount.com/2020/12/04/no-one-is-an-asterisk/</w:t>
              </w:r>
            </w:hyperlink>
          </w:p>
          <w:p w14:paraId="10802423" w14:textId="77777777" w:rsidR="00DA2BA9" w:rsidRDefault="00000000">
            <w:pPr>
              <w:widowControl w:val="0"/>
              <w:numPr>
                <w:ilvl w:val="1"/>
                <w:numId w:val="10"/>
              </w:numPr>
              <w:spacing w:after="240"/>
              <w:rPr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Krause, H. (2020, June 26). Proxy variables part 2: race. </w:t>
            </w:r>
            <w:r>
              <w:rPr>
                <w:i/>
                <w:color w:val="333333"/>
                <w:highlight w:val="white"/>
              </w:rPr>
              <w:t>We All Count</w:t>
            </w:r>
            <w:r>
              <w:rPr>
                <w:color w:val="333333"/>
                <w:highlight w:val="white"/>
              </w:rPr>
              <w:t>. https://weallcount.com/2020/06/26/proxy-variables-part-2-race/</w:t>
            </w:r>
          </w:p>
        </w:tc>
        <w:tc>
          <w:tcPr>
            <w:tcW w:w="5440" w:type="dxa"/>
          </w:tcPr>
          <w:p w14:paraId="1EF71A6C" w14:textId="77777777" w:rsidR="00DA2BA9" w:rsidRDefault="00000000">
            <w:pPr>
              <w:numPr>
                <w:ilvl w:val="0"/>
                <w:numId w:val="7"/>
              </w:numPr>
              <w:spacing w:before="60" w:line="240" w:lineRule="auto"/>
            </w:pPr>
            <w:r>
              <w:lastRenderedPageBreak/>
              <w:t>Understand how and why differential privacy techniques are implemented for large data sets</w:t>
            </w:r>
          </w:p>
          <w:p w14:paraId="08BD748F" w14:textId="77777777" w:rsidR="00DA2BA9" w:rsidRDefault="00000000">
            <w:pPr>
              <w:numPr>
                <w:ilvl w:val="0"/>
                <w:numId w:val="7"/>
              </w:numPr>
              <w:spacing w:line="240" w:lineRule="auto"/>
            </w:pPr>
            <w:r>
              <w:t>Identify ethical and unethical approaches to working with estimates derived from samples</w:t>
            </w:r>
          </w:p>
          <w:p w14:paraId="672D44D3" w14:textId="77777777" w:rsidR="00DA2BA9" w:rsidRDefault="00000000">
            <w:pPr>
              <w:numPr>
                <w:ilvl w:val="0"/>
                <w:numId w:val="7"/>
              </w:numPr>
              <w:spacing w:line="240" w:lineRule="auto"/>
            </w:pPr>
            <w:r>
              <w:t>Identify differing approaches to asking about racial characteristics in surveys and working with resulting data</w:t>
            </w:r>
          </w:p>
        </w:tc>
      </w:tr>
    </w:tbl>
    <w:p w14:paraId="3FC13955" w14:textId="77777777" w:rsidR="00DA2BA9" w:rsidRDefault="00DA2BA9">
      <w:pPr>
        <w:tabs>
          <w:tab w:val="left" w:pos="1365"/>
        </w:tabs>
        <w:spacing w:line="240" w:lineRule="auto"/>
      </w:pPr>
    </w:p>
    <w:tbl>
      <w:tblPr>
        <w:tblStyle w:val="a0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6560"/>
        <w:gridCol w:w="3160"/>
      </w:tblGrid>
      <w:tr w:rsidR="00DA2BA9" w14:paraId="1CA53E9A" w14:textId="77777777">
        <w:trPr>
          <w:jc w:val="center"/>
        </w:trPr>
        <w:tc>
          <w:tcPr>
            <w:tcW w:w="1080" w:type="dxa"/>
            <w:vAlign w:val="center"/>
          </w:tcPr>
          <w:p w14:paraId="72C13D1B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Time</w:t>
            </w:r>
          </w:p>
        </w:tc>
        <w:tc>
          <w:tcPr>
            <w:tcW w:w="6560" w:type="dxa"/>
            <w:vAlign w:val="center"/>
          </w:tcPr>
          <w:p w14:paraId="7A521CBB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 Content</w:t>
            </w:r>
          </w:p>
        </w:tc>
        <w:tc>
          <w:tcPr>
            <w:tcW w:w="3160" w:type="dxa"/>
            <w:vAlign w:val="center"/>
          </w:tcPr>
          <w:p w14:paraId="3B252FBD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Notes</w:t>
            </w:r>
          </w:p>
        </w:tc>
      </w:tr>
      <w:tr w:rsidR="00DA2BA9" w14:paraId="7424E2F0" w14:textId="77777777">
        <w:trPr>
          <w:jc w:val="center"/>
        </w:trPr>
        <w:tc>
          <w:tcPr>
            <w:tcW w:w="1080" w:type="dxa"/>
          </w:tcPr>
          <w:p w14:paraId="0A5F64BA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A7F1B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EFB6AB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15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minutes</w:t>
            </w:r>
          </w:p>
          <w:p w14:paraId="603F8DC5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12E9BA2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41539E4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D5AC7D4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 minutes</w:t>
            </w:r>
          </w:p>
          <w:p w14:paraId="4EB0F9E4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66F6CA0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A73D4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60" w:type="dxa"/>
          </w:tcPr>
          <w:p w14:paraId="49E75A29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lastRenderedPageBreak/>
              <w:t>14-Differential privacy</w:t>
            </w:r>
          </w:p>
          <w:p w14:paraId="4B7AB0A9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3CD80E19" w14:textId="77777777" w:rsidR="00DA2BA9" w:rsidRDefault="00000000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Review previous day’s material</w:t>
            </w:r>
          </w:p>
          <w:p w14:paraId="47A1B298" w14:textId="77777777" w:rsidR="00DA2BA9" w:rsidRDefault="00000000"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Have students skim the intro to </w:t>
            </w:r>
            <w:hyperlink r:id="rId15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highlight w:val="white"/>
                  <w:u w:val="single"/>
                </w:rPr>
                <w:t>Differential privacy: A primer for a non-technical audience</w:t>
              </w:r>
            </w:hyperlink>
          </w:p>
          <w:p w14:paraId="214D3F12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2B7964D1" w14:textId="63192C41" w:rsidR="00DA2BA9" w:rsidRDefault="00000000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6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14-Differential privacy-slides</w:t>
              </w:r>
            </w:hyperlink>
          </w:p>
          <w:p w14:paraId="6B1D6025" w14:textId="77777777" w:rsidR="00DA2BA9" w:rsidRDefault="00000000">
            <w:pPr>
              <w:widowControl w:val="0"/>
              <w:numPr>
                <w:ilvl w:val="1"/>
                <w:numId w:val="4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8</w:t>
            </w:r>
            <w:r>
              <w:rPr>
                <w:rFonts w:ascii="Arial" w:eastAsia="Arial" w:hAnsi="Arial" w:cs="Arial"/>
                <w:sz w:val="22"/>
                <w:szCs w:val="22"/>
              </w:rPr>
              <w:t>: video by Simply Explained – https://www.youtube.com/watch?v=gI0wk1CXlsQ&amp;t=1s</w:t>
            </w:r>
          </w:p>
        </w:tc>
        <w:tc>
          <w:tcPr>
            <w:tcW w:w="3160" w:type="dxa"/>
          </w:tcPr>
          <w:p w14:paraId="60FE4A73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67B03E8" w14:textId="77777777" w:rsidR="00DA2BA9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5exydi7cf1xj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  <w:p w14:paraId="0851A4DD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8bj5lp3exuyj" w:colFirst="0" w:colLast="0"/>
            <w:bookmarkEnd w:id="1"/>
          </w:p>
          <w:p w14:paraId="3F2E73FF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gjdgxs" w:colFirst="0" w:colLast="0"/>
            <w:bookmarkEnd w:id="2"/>
          </w:p>
        </w:tc>
      </w:tr>
      <w:tr w:rsidR="00DA2BA9" w14:paraId="68EE1C9D" w14:textId="77777777">
        <w:trPr>
          <w:jc w:val="center"/>
        </w:trPr>
        <w:tc>
          <w:tcPr>
            <w:tcW w:w="1080" w:type="dxa"/>
          </w:tcPr>
          <w:p w14:paraId="46230135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F21702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698FE1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minutes</w:t>
            </w:r>
          </w:p>
          <w:p w14:paraId="45C170A5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0B55D7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E8E229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391C8E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094F5F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36DCE9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4C5919D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A700C00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893F48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4D7A7B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60ABE7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1AFBA6D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D8FA4AA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ACE907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6745EC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65AD38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CB339F2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C2FBBE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40610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D7C59A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minutes</w:t>
            </w:r>
          </w:p>
          <w:p w14:paraId="65C49746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EC5064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1D4DEC0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75 minutes</w:t>
            </w:r>
          </w:p>
        </w:tc>
        <w:tc>
          <w:tcPr>
            <w:tcW w:w="6560" w:type="dxa"/>
          </w:tcPr>
          <w:p w14:paraId="7E723E18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15-Ethics</w:t>
            </w:r>
          </w:p>
          <w:p w14:paraId="7FC51075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46154E5E" w14:textId="77777777" w:rsidR="00DA2BA9" w:rsidRDefault="00000000">
            <w:pPr>
              <w:widowControl w:val="0"/>
              <w:numPr>
                <w:ilvl w:val="0"/>
                <w:numId w:val="1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Distribute and have students skim over texts for this section</w:t>
            </w:r>
          </w:p>
          <w:p w14:paraId="3A6C3B59" w14:textId="77777777" w:rsidR="00DA2BA9" w:rsidRDefault="00000000">
            <w:pPr>
              <w:widowControl w:val="0"/>
              <w:numPr>
                <w:ilvl w:val="1"/>
                <w:numId w:val="1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Peter Bacchetti, Leslie E. Wolf, Mark R. Segal, Charles E. McCulloch, Ethics and Sample Size,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American Journal of Epidemiology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, Volume 161, Issue 2, 15 January 2005, Pages 105–110, </w:t>
            </w:r>
            <w:hyperlink r:id="rId17">
              <w:r>
                <w:rPr>
                  <w:rFonts w:ascii="Arial" w:eastAsia="Arial" w:hAnsi="Arial" w:cs="Arial"/>
                  <w:sz w:val="22"/>
                  <w:szCs w:val="22"/>
                  <w:highlight w:val="white"/>
                </w:rPr>
                <w:t>https://doi.org/10.1093/aje/kwi014</w:t>
              </w:r>
            </w:hyperlink>
          </w:p>
          <w:p w14:paraId="304C7C36" w14:textId="41BD9DB8" w:rsidR="00644A9B" w:rsidRDefault="00000000" w:rsidP="00644A9B">
            <w:pPr>
              <w:widowControl w:val="0"/>
              <w:numPr>
                <w:ilvl w:val="1"/>
                <w:numId w:val="1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Patrick Dattalo, Ethical Dilemmas in Sampling,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Journal of Social Work Values and Ethics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Volume 7, Issue 1, 2010, </w:t>
            </w:r>
            <w:hyperlink r:id="rId18" w:history="1">
              <w:r w:rsidR="00644A9B" w:rsidRPr="00216E25">
                <w:rPr>
                  <w:rStyle w:val="Hyperlink"/>
                </w:rPr>
                <w:t>https://www.jswve.org/wp-content/uploads/2010/01/10-007-108-JSWVE-2010.pdf</w:t>
              </w:r>
            </w:hyperlink>
          </w:p>
          <w:p w14:paraId="22378D0C" w14:textId="77777777" w:rsidR="00DA2BA9" w:rsidRDefault="00000000">
            <w:pPr>
              <w:widowControl w:val="0"/>
              <w:numPr>
                <w:ilvl w:val="1"/>
                <w:numId w:val="1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Bornstein, M. H., Jager, J., &amp; Putnick, D. L. (2013). Sampling in Developmental Science: Situations, Shortcomings, Solutions, and Standards.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Developmental review : DR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33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(4), 357–370. </w:t>
            </w:r>
            <w:hyperlink r:id="rId19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highlight w:val="white"/>
                  <w:u w:val="single"/>
                </w:rPr>
                <w:t>https://doi.org/10.1016/j.dr.2013.08.003</w:t>
              </w:r>
            </w:hyperlink>
          </w:p>
          <w:p w14:paraId="482AC4C0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2BCAC6DA" w14:textId="57D1FC1B" w:rsidR="00DA2BA9" w:rsidRDefault="00000000">
            <w:pPr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20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15-Ethics-slides</w:t>
              </w:r>
            </w:hyperlink>
          </w:p>
          <w:p w14:paraId="1D3B6F84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Discussion/Activity</w:t>
            </w:r>
          </w:p>
          <w:p w14:paraId="0C31D806" w14:textId="77777777" w:rsidR="00DA2BA9" w:rsidRDefault="00000000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before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Students should read the following articles (skim the original paper, particularly the methods section, and then read the commentary article):</w:t>
            </w:r>
          </w:p>
          <w:p w14:paraId="6F391314" w14:textId="77777777" w:rsidR="00DA2BA9" w:rsidRDefault="00000000">
            <w:pPr>
              <w:widowControl w:val="0"/>
              <w:numPr>
                <w:ilvl w:val="0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Forecasting elections with non-representative polls</w:t>
            </w:r>
          </w:p>
          <w:p w14:paraId="7B9DC93E" w14:textId="77777777" w:rsidR="00DA2BA9" w:rsidRDefault="00000000">
            <w:pPr>
              <w:widowControl w:val="0"/>
              <w:numPr>
                <w:ilvl w:val="1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Wang, W. et al., Forecasting elections with non-representative polls, International Journal of Forecasting (2014),</w:t>
            </w:r>
            <w:hyperlink r:id="rId21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</w:t>
              </w:r>
            </w:hyperlink>
            <w:hyperlink r:id="rId22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https://doi.org/10.1016/j.ijforecast.2014.06.001</w:t>
              </w:r>
            </w:hyperlink>
          </w:p>
          <w:p w14:paraId="6F3E4DC6" w14:textId="77777777" w:rsidR="00DA2BA9" w:rsidRDefault="00000000">
            <w:pPr>
              <w:widowControl w:val="0"/>
              <w:numPr>
                <w:ilvl w:val="1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Commentary: A review of “Forecasting elections with non-representative polls, by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Rohan Alexander:</w:t>
            </w:r>
            <w:hyperlink r:id="rId23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</w:t>
              </w:r>
            </w:hyperlink>
            <w:hyperlink r:id="rId24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https://rohanalexander.com/posts/2020-02-11-a-review-of-forecasting-elections-with-non-representative-polls/</w:t>
              </w:r>
            </w:hyperlink>
          </w:p>
          <w:p w14:paraId="443AA7AE" w14:textId="77777777" w:rsidR="00DA2BA9" w:rsidRDefault="00000000">
            <w:pPr>
              <w:widowControl w:val="0"/>
              <w:numPr>
                <w:ilvl w:val="0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COVID-19 antibody seroprevalence in Santa Clara County</w:t>
            </w:r>
          </w:p>
          <w:p w14:paraId="193F96B4" w14:textId="77777777" w:rsidR="00DA2BA9" w:rsidRDefault="00000000">
            <w:pPr>
              <w:widowControl w:val="0"/>
              <w:numPr>
                <w:ilvl w:val="1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Eran Bendavid, Bianca Mulaney, Neeraj Sood, Soleil Shah, Rebecca Bromley-Dulfano, Cara Lai, Zoe Weissberg, Rodrigo Saavedra-Walker, Jim Tedrow, Andrew Bogan, Thomas Kupiec, Daniel Eichner, Ribhav Gupta, John P A Ioannidis, Jay Bhattacharya, COVID-19 antibody seroprevalence in Santa Clara County, California,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International Journal of Epidemiology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Volume 50, Issue 2, April 2021, Pages 410–419, </w:t>
            </w:r>
            <w:hyperlink r:id="rId25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https://doi.org/10.1093/ije/dyab010</w:t>
              </w:r>
            </w:hyperlink>
          </w:p>
          <w:p w14:paraId="37853EB9" w14:textId="77777777" w:rsidR="00DA2BA9" w:rsidRDefault="00000000">
            <w:pPr>
              <w:widowControl w:val="0"/>
              <w:numPr>
                <w:ilvl w:val="1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Commentary: How (Not) to Do an Antibody Survey for SARS-CoV-2, by Catherine Offord:</w:t>
            </w:r>
            <w:hyperlink r:id="rId26">
              <w:r>
                <w:rPr>
                  <w:rFonts w:ascii="Arial" w:eastAsia="Arial" w:hAnsi="Arial" w:cs="Arial"/>
                  <w:sz w:val="22"/>
                  <w:szCs w:val="22"/>
                </w:rPr>
                <w:t xml:space="preserve"> </w:t>
              </w:r>
            </w:hyperlink>
            <w:hyperlink r:id="rId27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https://www.the-scientist.com/news-opinion/how-not-to-do-an-antibody-survey-for-sars-cov-2-67488</w:t>
              </w:r>
            </w:hyperlink>
          </w:p>
          <w:p w14:paraId="0DC4160D" w14:textId="77777777" w:rsidR="00DA2BA9" w:rsidRDefault="00000000">
            <w:pPr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4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Discussion surrounding ethical considerations involved in both studies. Compare and contrast the approaches taken within each study. Consider:</w:t>
            </w:r>
          </w:p>
          <w:p w14:paraId="368EB835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Sample size</w:t>
            </w:r>
          </w:p>
          <w:p w14:paraId="1C3D87AC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Sample recruitment</w:t>
            </w:r>
          </w:p>
          <w:p w14:paraId="7F8A90B8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Respondent burden and potential impacts</w:t>
            </w:r>
          </w:p>
          <w:p w14:paraId="01DEEEBD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Net burden</w:t>
            </w:r>
          </w:p>
          <w:p w14:paraId="607980EE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Study value</w:t>
            </w:r>
          </w:p>
          <w:p w14:paraId="3054141D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 validity</w:t>
            </w:r>
          </w:p>
          <w:p w14:paraId="24946B5D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External validity</w:t>
            </w:r>
          </w:p>
          <w:p w14:paraId="6CE7858E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Selection bias</w:t>
            </w:r>
          </w:p>
          <w:p w14:paraId="08FB9053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Representation</w:t>
            </w:r>
          </w:p>
          <w:p w14:paraId="35DC7DAB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Analysis methods</w:t>
            </w:r>
          </w:p>
          <w:p w14:paraId="66CDE7D4" w14:textId="77777777" w:rsidR="00DA2BA9" w:rsidRDefault="00000000">
            <w:pPr>
              <w:widowControl w:val="0"/>
              <w:numPr>
                <w:ilvl w:val="1"/>
                <w:numId w:val="6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40"/>
              <w:ind w:firstLine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Potential adverse study outcomes</w:t>
            </w:r>
          </w:p>
          <w:p w14:paraId="0443A0A3" w14:textId="77777777" w:rsidR="00DA2BA9" w:rsidRDefault="00DA2BA9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3160" w:type="dxa"/>
          </w:tcPr>
          <w:p w14:paraId="317640EB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A53796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ch77qkkchtjx" w:colFirst="0" w:colLast="0"/>
            <w:bookmarkEnd w:id="3"/>
          </w:p>
          <w:p w14:paraId="7D524284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4" w:name="_i1oip6oig0p" w:colFirst="0" w:colLast="0"/>
            <w:bookmarkEnd w:id="4"/>
          </w:p>
          <w:p w14:paraId="57CEB7AA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5" w:name="_8wga66aunuuo" w:colFirst="0" w:colLast="0"/>
            <w:bookmarkEnd w:id="5"/>
          </w:p>
          <w:p w14:paraId="3068DC63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6" w:name="_i6uwj61hawb5" w:colFirst="0" w:colLast="0"/>
            <w:bookmarkEnd w:id="6"/>
          </w:p>
          <w:p w14:paraId="41DB7D75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7" w:name="_9p0neynvklla" w:colFirst="0" w:colLast="0"/>
            <w:bookmarkEnd w:id="7"/>
          </w:p>
          <w:p w14:paraId="1C68D3E3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8" w:name="_gzpejp7unvci" w:colFirst="0" w:colLast="0"/>
            <w:bookmarkEnd w:id="8"/>
          </w:p>
          <w:p w14:paraId="7C9571E5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9" w:name="_ixkioju3ols9" w:colFirst="0" w:colLast="0"/>
            <w:bookmarkEnd w:id="9"/>
          </w:p>
          <w:p w14:paraId="0C3F5482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0" w:name="_ohg7po9lmr2j" w:colFirst="0" w:colLast="0"/>
            <w:bookmarkEnd w:id="10"/>
          </w:p>
          <w:p w14:paraId="7499AB82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1" w:name="_r8ailuki5s7y" w:colFirst="0" w:colLast="0"/>
            <w:bookmarkEnd w:id="11"/>
          </w:p>
          <w:p w14:paraId="4655817A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2" w:name="_5t3ap2k6veki" w:colFirst="0" w:colLast="0"/>
            <w:bookmarkEnd w:id="12"/>
          </w:p>
          <w:p w14:paraId="59550AB2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3" w:name="_egzbk6f1dhsx" w:colFirst="0" w:colLast="0"/>
            <w:bookmarkEnd w:id="13"/>
          </w:p>
          <w:p w14:paraId="2E8845A7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4" w:name="_2n9or1h87m3w" w:colFirst="0" w:colLast="0"/>
            <w:bookmarkEnd w:id="14"/>
          </w:p>
          <w:p w14:paraId="3CE4DC3A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5" w:name="_bl8qh3jjflgx" w:colFirst="0" w:colLast="0"/>
            <w:bookmarkEnd w:id="15"/>
          </w:p>
          <w:p w14:paraId="32E17EA1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6" w:name="_16304zcrky6n" w:colFirst="0" w:colLast="0"/>
            <w:bookmarkEnd w:id="16"/>
          </w:p>
          <w:p w14:paraId="0FC3AD00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7" w:name="_sskqubk99bfs" w:colFirst="0" w:colLast="0"/>
            <w:bookmarkEnd w:id="17"/>
          </w:p>
          <w:p w14:paraId="60D0898D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8" w:name="_uffsgpeatafd" w:colFirst="0" w:colLast="0"/>
            <w:bookmarkEnd w:id="18"/>
          </w:p>
          <w:p w14:paraId="3B39DB09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9" w:name="_8ykcbne2mnzz" w:colFirst="0" w:colLast="0"/>
            <w:bookmarkEnd w:id="19"/>
          </w:p>
          <w:p w14:paraId="3594C8EE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0" w:name="_ck00n1s5daoc" w:colFirst="0" w:colLast="0"/>
            <w:bookmarkEnd w:id="20"/>
          </w:p>
          <w:p w14:paraId="27ED1214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1" w:name="_y5z5iu73zwyl" w:colFirst="0" w:colLast="0"/>
            <w:bookmarkEnd w:id="21"/>
          </w:p>
          <w:p w14:paraId="4CDB44E8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2" w:name="_fh2fsdwdr9cw" w:colFirst="0" w:colLast="0"/>
            <w:bookmarkEnd w:id="22"/>
          </w:p>
          <w:p w14:paraId="12EF689A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3" w:name="_jrsvq4oatepq" w:colFirst="0" w:colLast="0"/>
            <w:bookmarkEnd w:id="23"/>
          </w:p>
          <w:p w14:paraId="058C9A24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4" w:name="_1wuc70uwxp6d" w:colFirst="0" w:colLast="0"/>
            <w:bookmarkEnd w:id="24"/>
          </w:p>
          <w:p w14:paraId="7E020169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5" w:name="_7qcsnrlsow7w" w:colFirst="0" w:colLast="0"/>
            <w:bookmarkEnd w:id="25"/>
          </w:p>
          <w:p w14:paraId="2DFD0B09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6" w:name="_64llgpi4drsj" w:colFirst="0" w:colLast="0"/>
            <w:bookmarkEnd w:id="26"/>
          </w:p>
          <w:p w14:paraId="5F9D35B4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7" w:name="_xz9m4g8mx1zd" w:colFirst="0" w:colLast="0"/>
            <w:bookmarkEnd w:id="27"/>
          </w:p>
          <w:p w14:paraId="2D2227A3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8" w:name="_xf40ld2awiv5" w:colFirst="0" w:colLast="0"/>
            <w:bookmarkEnd w:id="28"/>
          </w:p>
          <w:p w14:paraId="12576B9D" w14:textId="77777777" w:rsidR="00DA2BA9" w:rsidRDefault="00000000">
            <w:pPr>
              <w:widowControl w:val="0"/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Potential discussion questions:</w:t>
            </w:r>
          </w:p>
          <w:p w14:paraId="3EC81FE1" w14:textId="77777777" w:rsidR="00DA2BA9" w:rsidRDefault="00000000">
            <w:pPr>
              <w:widowControl w:val="0"/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What is the target populations? In what ways were the samples representative or non-representative of the target population?</w:t>
            </w:r>
          </w:p>
          <w:p w14:paraId="1E7BDD45" w14:textId="77777777" w:rsidR="00DA2BA9" w:rsidRDefault="00000000">
            <w:pPr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What was the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sampling approach used? How did this approach impact who was able to participate in the survey?</w:t>
            </w:r>
          </w:p>
          <w:p w14:paraId="10E47470" w14:textId="77777777" w:rsidR="00DA2BA9" w:rsidRDefault="00000000">
            <w:pPr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What factors impact the net respondent burden for the survey?</w:t>
            </w:r>
          </w:p>
          <w:p w14:paraId="2753B465" w14:textId="77777777" w:rsidR="00DA2BA9" w:rsidRDefault="00000000">
            <w:pPr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 the study internally valid?</w:t>
            </w:r>
          </w:p>
          <w:p w14:paraId="513C5A03" w14:textId="77777777" w:rsidR="00DA2BA9" w:rsidRDefault="00000000">
            <w:pPr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 the study externally valid?</w:t>
            </w:r>
          </w:p>
          <w:p w14:paraId="1355FE55" w14:textId="77777777" w:rsidR="00DA2BA9" w:rsidRDefault="00000000">
            <w:pPr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the researchers note areas of underrepresentation? What analysis methods were used to account for underrepresentation of groups?</w:t>
            </w:r>
          </w:p>
          <w:p w14:paraId="650AC32A" w14:textId="77777777" w:rsidR="00DA2BA9" w:rsidRDefault="00000000">
            <w:pPr>
              <w:widowControl w:val="0"/>
              <w:numPr>
                <w:ilvl w:val="0"/>
                <w:numId w:val="1"/>
              </w:num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bookmarkStart w:id="29" w:name="_ahl89usjh4nu" w:colFirst="0" w:colLast="0"/>
            <w:bookmarkEnd w:id="29"/>
            <w:r>
              <w:rPr>
                <w:rFonts w:ascii="Arial" w:eastAsia="Arial" w:hAnsi="Arial" w:cs="Arial"/>
                <w:sz w:val="22"/>
                <w:szCs w:val="22"/>
              </w:rPr>
              <w:t>What are the potential negative outcomes if the reported results of the study are inaccurate?</w:t>
            </w:r>
          </w:p>
        </w:tc>
      </w:tr>
      <w:tr w:rsidR="00DA2BA9" w14:paraId="60D5C0A4" w14:textId="77777777">
        <w:trPr>
          <w:jc w:val="center"/>
        </w:trPr>
        <w:tc>
          <w:tcPr>
            <w:tcW w:w="1080" w:type="dxa"/>
          </w:tcPr>
          <w:p w14:paraId="11CCA4A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D4760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C1A816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minutes</w:t>
            </w:r>
          </w:p>
          <w:p w14:paraId="2F5A4C4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62C218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60FB9B8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54BB16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199FC68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B74EB35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7050C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2D6E9B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D1A12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A20E096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A54BEE6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2C4050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CAC373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5CE55DA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C05A3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510D60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57AF438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F7C1B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3D04EBE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69BC3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659697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C4F0330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3A043C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C12353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6750377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12BDAD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40380B2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6D0740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BC133D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3B0811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7B14639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DFCE93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304BD63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7E24C97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FA11D96" w14:textId="77777777" w:rsidR="00DA2BA9" w:rsidRDefault="00DA2B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2F8F070" w14:textId="77777777" w:rsidR="00DA2BA9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40 minutes</w:t>
            </w:r>
          </w:p>
        </w:tc>
        <w:tc>
          <w:tcPr>
            <w:tcW w:w="6560" w:type="dxa"/>
          </w:tcPr>
          <w:p w14:paraId="032CD694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lastRenderedPageBreak/>
              <w:t>16-Inequity</w:t>
            </w:r>
          </w:p>
          <w:p w14:paraId="6A308FBB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6406D9F7" w14:textId="77777777" w:rsidR="00DA2BA9" w:rsidRDefault="00000000"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Ensure students have access to texts. Give a brief overview of material and time for students to skim/review each text.</w:t>
            </w:r>
          </w:p>
          <w:p w14:paraId="75E4D230" w14:textId="77777777" w:rsidR="00DA2BA9" w:rsidRDefault="00000000">
            <w:pPr>
              <w:widowControl w:val="0"/>
              <w:numPr>
                <w:ilvl w:val="1"/>
                <w:numId w:val="8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James, A. (2008). Making Sense of Race and Racial Classification. In T. Zuberi &amp; E. Bonilla-Silva (Eds.),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 xml:space="preserve">White logic, white methods : Racism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lastRenderedPageBreak/>
              <w:t xml:space="preserve">and methodology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(pp. 31-45). Rowman &amp; Littlefield Publishers.</w:t>
            </w:r>
          </w:p>
          <w:p w14:paraId="66606622" w14:textId="77777777" w:rsidR="00DA2BA9" w:rsidRDefault="00000000">
            <w:pPr>
              <w:widowControl w:val="0"/>
              <w:numPr>
                <w:ilvl w:val="1"/>
                <w:numId w:val="8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Harnois, C. (2018). Analyzing race and ethnicity with the GSS. In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Analyzing inequalities: An introduction to race, class, gender, and sexuality using the general social survey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(pp. 65-96). SAGE Publications, Inc., </w:t>
            </w:r>
            <w:hyperlink r:id="rId28">
              <w:r>
                <w:rPr>
                  <w:rFonts w:ascii="Arial" w:eastAsia="Arial" w:hAnsi="Arial" w:cs="Arial"/>
                  <w:sz w:val="22"/>
                  <w:szCs w:val="22"/>
                  <w:highlight w:val="white"/>
                  <w:u w:val="single"/>
                </w:rPr>
                <w:t>https://dx.doi.org/</w:t>
              </w:r>
            </w:hyperlink>
          </w:p>
          <w:p w14:paraId="1B3B195E" w14:textId="77777777" w:rsidR="00DA2BA9" w:rsidRDefault="00000000">
            <w:pPr>
              <w:widowControl w:val="0"/>
              <w:numPr>
                <w:ilvl w:val="1"/>
                <w:numId w:val="8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Ashok, S. (2016, August 27). The rise of the American ‘Others’. The Atlantic. </w:t>
            </w:r>
            <w:hyperlink r:id="rId29">
              <w:r>
                <w:rPr>
                  <w:rFonts w:ascii="Arial" w:eastAsia="Arial" w:hAnsi="Arial" w:cs="Arial"/>
                  <w:sz w:val="22"/>
                  <w:szCs w:val="22"/>
                  <w:highlight w:val="white"/>
                  <w:u w:val="single"/>
                </w:rPr>
                <w:t>https://www.theatlantic.com/politics/archive/2016/08/the-rise-of-the-others/497690/</w:t>
              </w:r>
            </w:hyperlink>
          </w:p>
          <w:p w14:paraId="4548FE05" w14:textId="77777777" w:rsidR="00DA2BA9" w:rsidRDefault="00000000">
            <w:pPr>
              <w:widowControl w:val="0"/>
              <w:numPr>
                <w:ilvl w:val="1"/>
                <w:numId w:val="8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Krause, H. (2021, August 27). We need to fill in the blanks in our social identity data.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We All Count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. </w:t>
            </w:r>
            <w:hyperlink r:id="rId30">
              <w:r>
                <w:rPr>
                  <w:rFonts w:ascii="Arial" w:eastAsia="Arial" w:hAnsi="Arial" w:cs="Arial"/>
                  <w:sz w:val="22"/>
                  <w:szCs w:val="22"/>
                  <w:highlight w:val="white"/>
                  <w:u w:val="single"/>
                </w:rPr>
                <w:t>https://weallcount.com/2021/08/27/we-need-to-fill-in-the-blanks-in-our-social-identity-data/</w:t>
              </w:r>
            </w:hyperlink>
          </w:p>
          <w:p w14:paraId="1C45DB9D" w14:textId="77777777" w:rsidR="00DA2BA9" w:rsidRDefault="00000000">
            <w:pPr>
              <w:widowControl w:val="0"/>
              <w:numPr>
                <w:ilvl w:val="1"/>
                <w:numId w:val="8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Krause, H. (2020, December 4). No one is an asterisk.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We All Count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. </w:t>
            </w:r>
            <w:hyperlink r:id="rId31">
              <w:r>
                <w:rPr>
                  <w:rFonts w:ascii="Arial" w:eastAsia="Arial" w:hAnsi="Arial" w:cs="Arial"/>
                  <w:sz w:val="22"/>
                  <w:szCs w:val="22"/>
                  <w:highlight w:val="white"/>
                  <w:u w:val="single"/>
                </w:rPr>
                <w:t>https://weallcount.com/2020/12/04/no-one-is-an-asterisk/</w:t>
              </w:r>
            </w:hyperlink>
          </w:p>
          <w:p w14:paraId="3F06C8B0" w14:textId="77777777" w:rsidR="00DA2BA9" w:rsidRDefault="00000000">
            <w:pPr>
              <w:widowControl w:val="0"/>
              <w:numPr>
                <w:ilvl w:val="1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Krause, H. (2020, June 26). Proxy variables part 2: race. </w:t>
            </w:r>
            <w:r>
              <w:rPr>
                <w:rFonts w:ascii="Arial" w:eastAsia="Arial" w:hAnsi="Arial" w:cs="Arial"/>
                <w:i/>
                <w:sz w:val="22"/>
                <w:szCs w:val="22"/>
                <w:highlight w:val="white"/>
              </w:rPr>
              <w:t>We All Count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 https://weallcount.com/2020/06/26/proxy-variables-part-2-race/</w:t>
            </w:r>
          </w:p>
          <w:p w14:paraId="024DD9B0" w14:textId="77777777" w:rsidR="00DA2BA9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7FA4EEEE" w14:textId="60104B7D" w:rsidR="00DA2BA9" w:rsidRDefault="00000000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32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1</w:t>
              </w:r>
              <w:r w:rsidR="00644A9B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6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-Inequity-slides</w:t>
              </w:r>
            </w:hyperlink>
          </w:p>
          <w:p w14:paraId="756F10ED" w14:textId="77777777" w:rsidR="00DA2BA9" w:rsidRDefault="00000000">
            <w:pPr>
              <w:widowControl w:val="0"/>
              <w:numPr>
                <w:ilvl w:val="1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Slide 4</w:t>
            </w:r>
            <w:r>
              <w:rPr>
                <w:rFonts w:ascii="Arial" w:eastAsia="Arial" w:hAnsi="Arial" w:cs="Arial"/>
                <w:sz w:val="22"/>
                <w:szCs w:val="22"/>
              </w:rPr>
              <w:t>: Discussion on race. Questions on slide.</w:t>
            </w:r>
          </w:p>
          <w:p w14:paraId="40E95D97" w14:textId="77777777" w:rsidR="00DA2BA9" w:rsidRDefault="00DA2BA9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60" w:type="dxa"/>
          </w:tcPr>
          <w:p w14:paraId="53B84FAF" w14:textId="77777777" w:rsidR="00DA2BA9" w:rsidRDefault="00DA2B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30" w:name="_ctloyefxn7ql" w:colFirst="0" w:colLast="0"/>
            <w:bookmarkEnd w:id="30"/>
          </w:p>
        </w:tc>
      </w:tr>
    </w:tbl>
    <w:p w14:paraId="034C4C24" w14:textId="77777777" w:rsidR="00DA2BA9" w:rsidRDefault="00DA2BA9">
      <w:pPr>
        <w:widowControl w:val="0"/>
        <w:spacing w:after="120" w:line="240" w:lineRule="auto"/>
        <w:jc w:val="center"/>
      </w:pPr>
    </w:p>
    <w:sectPr w:rsidR="00DA2BA9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12309" w14:textId="77777777" w:rsidR="00380107" w:rsidRDefault="00380107">
      <w:pPr>
        <w:spacing w:line="240" w:lineRule="auto"/>
      </w:pPr>
      <w:r>
        <w:separator/>
      </w:r>
    </w:p>
  </w:endnote>
  <w:endnote w:type="continuationSeparator" w:id="0">
    <w:p w14:paraId="593A4B76" w14:textId="77777777" w:rsidR="00380107" w:rsidRDefault="00380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ACFE9" w14:textId="77777777" w:rsidR="00644A9B" w:rsidRDefault="006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B3B7" w14:textId="77777777" w:rsidR="00644A9B" w:rsidRDefault="00644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3F03" w14:textId="77777777" w:rsidR="00644A9B" w:rsidRDefault="006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44A6A" w14:textId="77777777" w:rsidR="00380107" w:rsidRDefault="00380107">
      <w:pPr>
        <w:spacing w:line="240" w:lineRule="auto"/>
      </w:pPr>
      <w:r>
        <w:separator/>
      </w:r>
    </w:p>
  </w:footnote>
  <w:footnote w:type="continuationSeparator" w:id="0">
    <w:p w14:paraId="4F5730BA" w14:textId="77777777" w:rsidR="00380107" w:rsidRDefault="003801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68A2" w14:textId="77777777" w:rsidR="00644A9B" w:rsidRDefault="006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4B05" w14:textId="77777777" w:rsidR="00DA2BA9" w:rsidRDefault="00DA2BA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1CAE" w14:textId="77777777" w:rsidR="00644A9B" w:rsidRDefault="006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36"/>
    <w:multiLevelType w:val="multilevel"/>
    <w:tmpl w:val="D7AA4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C9179D"/>
    <w:multiLevelType w:val="multilevel"/>
    <w:tmpl w:val="36607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EC49AC"/>
    <w:multiLevelType w:val="multilevel"/>
    <w:tmpl w:val="4432B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351153"/>
    <w:multiLevelType w:val="multilevel"/>
    <w:tmpl w:val="B2142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FA6878"/>
    <w:multiLevelType w:val="multilevel"/>
    <w:tmpl w:val="1D1E911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9DC507E"/>
    <w:multiLevelType w:val="multilevel"/>
    <w:tmpl w:val="955C8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804F5F"/>
    <w:multiLevelType w:val="multilevel"/>
    <w:tmpl w:val="9078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F64B7D"/>
    <w:multiLevelType w:val="multilevel"/>
    <w:tmpl w:val="88083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A42986"/>
    <w:multiLevelType w:val="multilevel"/>
    <w:tmpl w:val="44725B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7504135"/>
    <w:multiLevelType w:val="multilevel"/>
    <w:tmpl w:val="8832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7125FC"/>
    <w:multiLevelType w:val="multilevel"/>
    <w:tmpl w:val="F7AAD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115C5E"/>
    <w:multiLevelType w:val="multilevel"/>
    <w:tmpl w:val="88663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8244864">
    <w:abstractNumId w:val="10"/>
  </w:num>
  <w:num w:numId="2" w16cid:durableId="1419331403">
    <w:abstractNumId w:val="1"/>
  </w:num>
  <w:num w:numId="3" w16cid:durableId="1381513232">
    <w:abstractNumId w:val="5"/>
  </w:num>
  <w:num w:numId="4" w16cid:durableId="1971395582">
    <w:abstractNumId w:val="11"/>
  </w:num>
  <w:num w:numId="5" w16cid:durableId="1399783546">
    <w:abstractNumId w:val="0"/>
  </w:num>
  <w:num w:numId="6" w16cid:durableId="1488862901">
    <w:abstractNumId w:val="6"/>
  </w:num>
  <w:num w:numId="7" w16cid:durableId="553589962">
    <w:abstractNumId w:val="2"/>
  </w:num>
  <w:num w:numId="8" w16cid:durableId="1124040633">
    <w:abstractNumId w:val="3"/>
  </w:num>
  <w:num w:numId="9" w16cid:durableId="2128887470">
    <w:abstractNumId w:val="9"/>
  </w:num>
  <w:num w:numId="10" w16cid:durableId="184944714">
    <w:abstractNumId w:val="4"/>
  </w:num>
  <w:num w:numId="11" w16cid:durableId="979765894">
    <w:abstractNumId w:val="7"/>
  </w:num>
  <w:num w:numId="12" w16cid:durableId="7909785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BA9"/>
    <w:rsid w:val="001F7FFD"/>
    <w:rsid w:val="0026600D"/>
    <w:rsid w:val="00380107"/>
    <w:rsid w:val="003D1749"/>
    <w:rsid w:val="00605E45"/>
    <w:rsid w:val="00644A9B"/>
    <w:rsid w:val="00A456DE"/>
    <w:rsid w:val="00DA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665F4"/>
  <w15:docId w15:val="{2B8DAE51-EF64-D14E-8DD3-F5E0D53A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4A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9B"/>
  </w:style>
  <w:style w:type="paragraph" w:styleId="Footer">
    <w:name w:val="footer"/>
    <w:basedOn w:val="Normal"/>
    <w:link w:val="FooterChar"/>
    <w:uiPriority w:val="99"/>
    <w:unhideWhenUsed/>
    <w:rsid w:val="00644A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9B"/>
  </w:style>
  <w:style w:type="character" w:styleId="Hyperlink">
    <w:name w:val="Hyperlink"/>
    <w:basedOn w:val="DefaultParagraphFont"/>
    <w:uiPriority w:val="99"/>
    <w:unhideWhenUsed/>
    <w:rsid w:val="00644A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4A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allcount.com/2021/08/27/we-need-to-fill-in-the-blanks-in-our-social-identity-data/" TargetMode="External"/><Relationship Id="rId18" Type="http://schemas.openxmlformats.org/officeDocument/2006/relationships/hyperlink" Target="https://www.jswve.org/wp-content/uploads/2010/01/10-007-108-JSWVE-2010.pdf" TargetMode="External"/><Relationship Id="rId26" Type="http://schemas.openxmlformats.org/officeDocument/2006/relationships/hyperlink" Target="https://www.the-scientist.com/news-opinion/how-not-to-do-an-antibody-survey-for-sars-cov-2-67488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1016/j.ijforecast.2014.06.001" TargetMode="External"/><Relationship Id="rId34" Type="http://schemas.openxmlformats.org/officeDocument/2006/relationships/header" Target="header2.xml"/><Relationship Id="rId7" Type="http://schemas.openxmlformats.org/officeDocument/2006/relationships/hyperlink" Target="https://salil.seas.harvard.edu/publications/differential-privacy-primer-non-technical-audience" TargetMode="External"/><Relationship Id="rId12" Type="http://schemas.openxmlformats.org/officeDocument/2006/relationships/hyperlink" Target="https://www.theatlantic.com/politics/archive/2016/08/the-rise-of-the-others/497690/" TargetMode="External"/><Relationship Id="rId17" Type="http://schemas.openxmlformats.org/officeDocument/2006/relationships/hyperlink" Target="https://doi.org/10.1093/aje/kwi014" TargetMode="External"/><Relationship Id="rId25" Type="http://schemas.openxmlformats.org/officeDocument/2006/relationships/hyperlink" Target="https://doi.org/10.1093/ije/dyab010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ithub.com/UofT-DSI/sampling/blob/main/lectures/14-Differential%20privacy-slides.pptx" TargetMode="External"/><Relationship Id="rId20" Type="http://schemas.openxmlformats.org/officeDocument/2006/relationships/hyperlink" Target="https://github.com/UofT-DSI/sampling/blob/main/lectures/15-Ethics-slides.pptx" TargetMode="External"/><Relationship Id="rId29" Type="http://schemas.openxmlformats.org/officeDocument/2006/relationships/hyperlink" Target="https://www.theatlantic.com/politics/archive/2016/08/the-rise-of-the-others/49769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" TargetMode="External"/><Relationship Id="rId24" Type="http://schemas.openxmlformats.org/officeDocument/2006/relationships/hyperlink" Target="https://rohanalexander.com/posts/2020-02-11-a-review-of-forecasting-elections-with-non-representative-polls/" TargetMode="External"/><Relationship Id="rId32" Type="http://schemas.openxmlformats.org/officeDocument/2006/relationships/hyperlink" Target="https://github.com/UofT-DSI/sampling/blob/main/lectures/16-Inequity-slides.pptx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alil.seas.harvard.edu/publications/differential-privacy-primer-non-technical-audience" TargetMode="External"/><Relationship Id="rId23" Type="http://schemas.openxmlformats.org/officeDocument/2006/relationships/hyperlink" Target="https://rohanalexander.com/posts/2020-02-11-a-review-of-forecasting-elections-with-non-representative-polls/" TargetMode="External"/><Relationship Id="rId28" Type="http://schemas.openxmlformats.org/officeDocument/2006/relationships/hyperlink" Target="https://dx.doi.org/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doi.org/10.1016/j.dr.2013.08.003" TargetMode="External"/><Relationship Id="rId19" Type="http://schemas.openxmlformats.org/officeDocument/2006/relationships/hyperlink" Target="https://doi.org/10.1016/j.dr.2013.08.003" TargetMode="External"/><Relationship Id="rId31" Type="http://schemas.openxmlformats.org/officeDocument/2006/relationships/hyperlink" Target="https://weallcount.com/2020/12/04/no-one-is-an-asteris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wve.org/download/2010-1/2dattalo-Ethical-dilemmas-in-sampling.pdf" TargetMode="External"/><Relationship Id="rId14" Type="http://schemas.openxmlformats.org/officeDocument/2006/relationships/hyperlink" Target="https://weallcount.com/2020/12/04/no-one-is-an-asterisk/" TargetMode="External"/><Relationship Id="rId22" Type="http://schemas.openxmlformats.org/officeDocument/2006/relationships/hyperlink" Target="https://doi.org/10.1016/j.ijforecast.2014.06.001" TargetMode="External"/><Relationship Id="rId27" Type="http://schemas.openxmlformats.org/officeDocument/2006/relationships/hyperlink" Target="https://www.the-scientist.com/news-opinion/how-not-to-do-an-antibody-survey-for-sars-cov-2-67488" TargetMode="External"/><Relationship Id="rId30" Type="http://schemas.openxmlformats.org/officeDocument/2006/relationships/hyperlink" Target="https://weallcount.com/2021/08/27/we-need-to-fill-in-the-blanks-in-our-social-identity-data/" TargetMode="External"/><Relationship Id="rId35" Type="http://schemas.openxmlformats.org/officeDocument/2006/relationships/footer" Target="footer1.xml"/><Relationship Id="rId8" Type="http://schemas.openxmlformats.org/officeDocument/2006/relationships/hyperlink" Target="https://doi.org/10.1093/aje/kwi01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1486</Words>
  <Characters>8475</Characters>
  <Application>Microsoft Office Word</Application>
  <DocSecurity>0</DocSecurity>
  <Lines>70</Lines>
  <Paragraphs>19</Paragraphs>
  <ScaleCrop>false</ScaleCrop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</cp:lastModifiedBy>
  <cp:revision>5</cp:revision>
  <dcterms:created xsi:type="dcterms:W3CDTF">2024-02-23T20:04:00Z</dcterms:created>
  <dcterms:modified xsi:type="dcterms:W3CDTF">2024-02-28T15:30:00Z</dcterms:modified>
</cp:coreProperties>
</file>