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5: Sampling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5: Sampling Ethics and Equity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4.5 hours (plus final assessment)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data privacy; de-identification; respondent burden; external validity; race and equity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Lesson Description</w:t>
      </w:r>
      <w:r w:rsidDel="00000000" w:rsidR="00000000" w:rsidRPr="00000000">
        <w:rPr>
          <w:rtl w:val="0"/>
        </w:rPr>
        <w:t xml:space="preserve">: This lesson examines working with survey data and sample estimates in and ethical and equitable manner. We conclude with the final assessment.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Instructor Preparation</w:t>
      </w:r>
      <w:r w:rsidDel="00000000" w:rsidR="00000000" w:rsidRPr="00000000">
        <w:rPr>
          <w:rtl w:val="0"/>
        </w:rPr>
        <w:t xml:space="preserve">: Look over slides, read core texts, review literature on Canadian and US census and race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440"/>
        <w:tblGridChange w:id="0">
          <w:tblGrid>
            <w:gridCol w:w="5360"/>
            <w:gridCol w:w="5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0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Google slides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Core texts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Rule="auto"/>
              <w:ind w:left="1620" w:hanging="360"/>
              <w:rPr/>
            </w:pPr>
            <w:r w:rsidDel="00000000" w:rsidR="00000000" w:rsidRPr="00000000">
              <w:rPr>
                <w:rtl w:val="0"/>
              </w:rPr>
              <w:t xml:space="preserve">Salganik, M. (2019). Understanding and managing informational risk. In </w:t>
            </w:r>
            <w:r w:rsidDel="00000000" w:rsidR="00000000" w:rsidRPr="00000000">
              <w:rPr>
                <w:i w:val="1"/>
                <w:rtl w:val="0"/>
              </w:rPr>
              <w:t xml:space="preserve">Bit by bit: Social research in the Digital age</w:t>
            </w:r>
            <w:r w:rsidDel="00000000" w:rsidR="00000000" w:rsidRPr="00000000">
              <w:rPr>
                <w:rtl w:val="0"/>
              </w:rPr>
              <w:t xml:space="preserve"> (pp. 307–314). Chapter, Princeton University Press.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0"/>
              </w:numPr>
              <w:ind w:left="1620" w:hanging="360"/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Wood, A., Altman, M., Bembenek, A., Bun, M., Gaboardi, M., Honaker, J., Nissim, K., OBrien, D.R., Steinke, T., &amp; Vadhan, S. (2018). </w:t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Differential privacy: A primer for a non-technical audience</w:t>
              </w:r>
            </w:hyperlink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1f1f1f"/>
                <w:highlight w:val="white"/>
                <w:rtl w:val="0"/>
              </w:rPr>
              <w:t xml:space="preserve">Vanderbilt Journal of Entertainment &amp; Technology Law,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21(1) 209-275.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Peter Bacchetti, Leslie E. Wolf, Mark R. Segal, Charles E. McCulloch, Ethics and Sample Size,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American Journal of Epidemiology</w:t>
            </w:r>
            <w:r w:rsidDel="00000000" w:rsidR="00000000" w:rsidRPr="00000000">
              <w:rPr>
                <w:highlight w:val="white"/>
                <w:rtl w:val="0"/>
              </w:rPr>
              <w:t xml:space="preserve">, Volume 161, Issue 2, 15 January 2005, Pages 105–110, 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https://doi.org/10.1093/aje/kwi014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/>
            </w:pPr>
            <w:r w:rsidDel="00000000" w:rsidR="00000000" w:rsidRPr="00000000">
              <w:rPr>
                <w:rtl w:val="0"/>
              </w:rPr>
              <w:t xml:space="preserve">Patrick Dattalo, Ethical Dilemmas in Sampling, </w:t>
            </w:r>
            <w:r w:rsidDel="00000000" w:rsidR="00000000" w:rsidRPr="00000000">
              <w:rPr>
                <w:i w:val="1"/>
                <w:rtl w:val="0"/>
              </w:rPr>
              <w:t xml:space="preserve">Journal of Social Work Values and Ethics</w:t>
            </w:r>
            <w:r w:rsidDel="00000000" w:rsidR="00000000" w:rsidRPr="00000000">
              <w:rPr>
                <w:rtl w:val="0"/>
              </w:rPr>
              <w:t xml:space="preserve">, Volume 7, Issue 1, 2010, </w:t>
            </w:r>
            <w:hyperlink r:id="rId8">
              <w:r w:rsidDel="00000000" w:rsidR="00000000" w:rsidRPr="00000000">
                <w:rPr>
                  <w:color w:val="0097a7"/>
                  <w:u w:val="single"/>
                  <w:rtl w:val="0"/>
                </w:rPr>
                <w:t xml:space="preserve">https://jswve.org/download/2010-1/2dattalo-Ethical-dilemmas-in-sampling.pdf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Bornstein, M. H., Jager, J., &amp; Putnick, D. L. (2013). Sampling in Developmental Science: Situations, Shortcomings, Solutions, and Standards.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Developmental review : DR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highlight w:val="white"/>
                <w:rtl w:val="0"/>
              </w:rPr>
              <w:t xml:space="preserve">(4), 357–370. </w:t>
            </w: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https://doi.org/10.1016/j.dr.2013.08.003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10"/>
              </w:numPr>
              <w:spacing w:after="200" w:lineRule="auto"/>
              <w:ind w:left="1620" w:hanging="360"/>
              <w:rPr>
                <w:highlight w:val="white"/>
              </w:rPr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James, A. (2008). Making Sense of Race and Racial Classification. In T. Zuberi &amp; E. Bonilla-Silva (Eds.), </w:t>
            </w:r>
            <w:r w:rsidDel="00000000" w:rsidR="00000000" w:rsidRPr="00000000">
              <w:rPr>
                <w:i w:val="1"/>
                <w:color w:val="262626"/>
                <w:highlight w:val="white"/>
                <w:rtl w:val="0"/>
              </w:rPr>
              <w:t xml:space="preserve">White logic, white methods : Racism and methodology </w:t>
            </w: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(pp. 31-45). Rowman &amp; Littlefield Publishers.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Harnois, C. (2018). Analyzing race and ethnicity with the GSS. In </w:t>
            </w:r>
            <w:r w:rsidDel="00000000" w:rsidR="00000000" w:rsidRPr="00000000">
              <w:rPr>
                <w:i w:val="1"/>
                <w:color w:val="333333"/>
                <w:highlight w:val="white"/>
                <w:rtl w:val="0"/>
              </w:rPr>
              <w:t xml:space="preserve">Analyzing inequalities: An introduction to race, class, gender, and sexuality using the general social survey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(pp. 65-96). SAGE Publications, Inc., </w:t>
            </w:r>
            <w:hyperlink r:id="rId10">
              <w:r w:rsidDel="00000000" w:rsidR="00000000" w:rsidRPr="00000000">
                <w:rPr>
                  <w:color w:val="0097a7"/>
                  <w:highlight w:val="white"/>
                  <w:u w:val="single"/>
                  <w:rtl w:val="0"/>
                </w:rPr>
                <w:t xml:space="preserve">https://dx.doi.org/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Ashok, S. (2016, August 27). The rise of the American ‘Others’. The Atlantic. </w:t>
            </w:r>
            <w:hyperlink r:id="rId11">
              <w:r w:rsidDel="00000000" w:rsidR="00000000" w:rsidRPr="00000000">
                <w:rPr>
                  <w:color w:val="0097a7"/>
                  <w:highlight w:val="white"/>
                  <w:u w:val="single"/>
                  <w:rtl w:val="0"/>
                </w:rPr>
                <w:t xml:space="preserve">https://www.theatlantic.com/politics/archive/2016/08/the-rise-of-the-others/497690/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Krause, H. (2021, August 27). We need to fill in the blanks in our social identity data. </w:t>
            </w:r>
            <w:r w:rsidDel="00000000" w:rsidR="00000000" w:rsidRPr="00000000">
              <w:rPr>
                <w:i w:val="1"/>
                <w:color w:val="333333"/>
                <w:highlight w:val="white"/>
                <w:rtl w:val="0"/>
              </w:rPr>
              <w:t xml:space="preserve">We All Count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. </w:t>
            </w:r>
            <w:hyperlink r:id="rId12">
              <w:r w:rsidDel="00000000" w:rsidR="00000000" w:rsidRPr="00000000">
                <w:rPr>
                  <w:color w:val="0097a7"/>
                  <w:highlight w:val="white"/>
                  <w:u w:val="single"/>
                  <w:rtl w:val="0"/>
                </w:rPr>
                <w:t xml:space="preserve">https://weallcount.com/2021/08/27/we-need-to-fill-in-the-blanks-in-our-social-identity-data/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0"/>
              </w:numPr>
              <w:spacing w:after="0" w:afterAutospacing="0" w:lineRule="auto"/>
              <w:ind w:left="162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Krause, H. (2020, December 4). No one is an asterisk. </w:t>
            </w:r>
            <w:r w:rsidDel="00000000" w:rsidR="00000000" w:rsidRPr="00000000">
              <w:rPr>
                <w:i w:val="1"/>
                <w:color w:val="333333"/>
                <w:highlight w:val="white"/>
                <w:rtl w:val="0"/>
              </w:rPr>
              <w:t xml:space="preserve">We All Count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. </w:t>
            </w:r>
            <w:hyperlink r:id="rId13">
              <w:r w:rsidDel="00000000" w:rsidR="00000000" w:rsidRPr="00000000">
                <w:rPr>
                  <w:color w:val="0097a7"/>
                  <w:highlight w:val="white"/>
                  <w:u w:val="single"/>
                  <w:rtl w:val="0"/>
                </w:rPr>
                <w:t xml:space="preserve">https://weallcount.com/2020/12/04/no-one-is-an-asterisk/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0"/>
              </w:numPr>
              <w:spacing w:after="240" w:lineRule="auto"/>
              <w:ind w:left="1620" w:hanging="360"/>
              <w:rPr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Krause, H. (2020, June 26). Proxy variables part 2: race. </w:t>
            </w:r>
            <w:r w:rsidDel="00000000" w:rsidR="00000000" w:rsidRPr="00000000">
              <w:rPr>
                <w:i w:val="1"/>
                <w:color w:val="333333"/>
                <w:highlight w:val="white"/>
                <w:rtl w:val="0"/>
              </w:rPr>
              <w:t xml:space="preserve">We All Count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. https://weallcount.com/2020/06/26/proxy-variables-part-2-race/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how and why differential privacy techniques are implemented for large data sets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 ethical and unethical approaches to working with estimates derived from samples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differing approaches to asking about racial characteristics in surveys and working with resulting data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1365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6560"/>
        <w:gridCol w:w="3160"/>
        <w:tblGridChange w:id="0">
          <w:tblGrid>
            <w:gridCol w:w="1080"/>
            <w:gridCol w:w="6560"/>
            <w:gridCol w:w="31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minutes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 minutes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14-Differential privacy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previous day’s material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students skim the intro to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highlight w:val="white"/>
                  <w:u w:val="single"/>
                  <w:rtl w:val="0"/>
                </w:rPr>
                <w:t xml:space="preserve">Differential privacy: A primer for a non-technical audience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14-Differential privacy-slides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Slide 8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video by Simply Explained – https://www.youtube.com/watch?v=gI0wk1CXlsQ&amp;t=1s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exydi7cf1xj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  <w:t xml:space="preserve"> </w:t>
              <w:br w:type="textWrapping"/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bj5lp3exuyj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 minutes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75 minutes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15-Ethics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Distribute and have students skim over texts for this section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11"/>
              </w:numPr>
              <w:spacing w:after="0" w:after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Peter Bacchetti, Leslie E. Wolf, Mark R. Segal, Charles E. McCulloch, Ethics and Sample Size,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American Journal of Epidemiology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, Volume 161, Issue 2, 15 January 2005, Pages 105–110,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highlight w:val="white"/>
                  <w:rtl w:val="0"/>
                </w:rPr>
                <w:t xml:space="preserve">https://doi.org/10.1093/aje/kwi014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1"/>
              </w:numPr>
              <w:spacing w:after="0" w:after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Patrick Dattalo, Ethical Dilemmas in Sampling,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Journal of Social Work Values and Ethics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Volume 7, Issue 1, 2010,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97a7"/>
                  <w:sz w:val="22"/>
                  <w:szCs w:val="22"/>
                  <w:u w:val="single"/>
                  <w:rtl w:val="0"/>
                </w:rPr>
                <w:t xml:space="preserve">https://jswve.org/download/2010-1/2dattalo-Ethical-dilemmas-in-sampling.pdf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1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Bornstein, M. H., Jager, J., &amp; Putnick, D. L. (2013). Sampling in Developmental Science: Situations, Shortcomings, Solutions, and Standards.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Developmental review : DR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(4), 357–370.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highlight w:val="white"/>
                  <w:u w:val="single"/>
                  <w:rtl w:val="0"/>
                </w:rPr>
                <w:t xml:space="preserve">https://doi.org/10.1016/j.dr.2013.08.003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15-Ethics-slides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Discussion/Activity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Students should read the following articles (skim the original paper, particularly the methods section, and then read the commentary article):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Forecasting elections with non-representative polls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Wang, W. et al., Forecasting elections with non-representative polls, International Journal of Forecasting (2014),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https://doi.org/10.1016/j.ijforecast.2014.06.001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Commentary: A review of “Forecasting elections with non-representative polls, by Rohan Alexander: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https://rohanalexander.com/posts/2020-02-11-a-review-of-forecasting-elections-with-non-representative-polls/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COVID-19 antibody seroprevalence in Santa Clara County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Eran Bendavid, Bianca Mulaney, Neeraj Sood, Soleil Shah, Rebecca Bromley-Dulfano, Cara Lai, Zoe Weissberg, Rodrigo Saavedra-Walker, Jim Tedrow, Andrew Bogan, Thomas Kupiec, Daniel Eichner, Ribhav Gupta, John P A Ioannidis, Jay Bhattacharya, COVID-19 antibody seroprevalence in Santa Clara County, California,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International Journal of Epidemiology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Volume 50, Issue 2, April 2021, Pages 410–419,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https://doi.org/10.1093/ije/dyab010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2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Commentary: How (Not) to Do an Antibody Survey for SARS-CoV-2, by Catherine Offord: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https://www.the-scientist.com/news-opinion/how-not-to-do-an-antibody-survey-for-sars-cov-2-67488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Discussion surrounding ethical considerations involved in both studies. Compare and contrast the approaches taken within each study. Consider: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Sample size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Sample recruitment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Respondent burden and potential impacts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Net burden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Study value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 validity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External validity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Selection bias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Representation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Analysis methods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6"/>
              </w:numPr>
              <w:tabs>
                <w:tab w:val="left" w:leader="none" w:pos="0"/>
                <w:tab w:val="left" w:leader="none" w:pos="72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40" w:before="0" w:beforeAutospacing="0" w:lineRule="auto"/>
              <w:ind w:left="1440" w:firstLine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Potential adverse study outcomes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h77qkkchtjx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1oip6oig0p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wga66aunuuo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6uwj61hawb5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9p0neynvklla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zpejp7unvci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ixkioju3ols9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ohg7po9lmr2j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r8ailuki5s7y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t3ap2k6veki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egzbk6f1dhsx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2n9or1h87m3w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bl8qh3jjflgx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16304zcrky6n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skqubk99bfs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uffsgpeatafd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ykcbne2mnzz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k00n1s5daoc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5z5iu73zwyl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fh2fsdwdr9cw" w:id="23"/>
            <w:bookmarkEnd w:id="2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jrsvq4oatepq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1wuc70uwxp6d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qcsnrlsow7w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64llgpi4drsj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xz9m4g8mx1zd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xf40ld2awiv5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Potential discussion questions: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What is the target populations? In what ways were the samples representative or non-representative of the target population?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What was the sampling approach used? How did this approach impact who was able to participate in the survey?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What factors impact the net respondent burden for the survey?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 the study internally valid?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 the study externally valid?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researchers note areas of underrepresentation? What analysis methods were used to account for underrepresentation of groups?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ahl89usjh4nu" w:id="30"/>
            <w:bookmarkEnd w:id="3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What are the potential negative outcomes if the reported results of the study are inaccurate?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minutes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yellow"/>
                <w:rtl w:val="0"/>
              </w:rPr>
              <w:t xml:space="preserve">16-Inequity</w:t>
            </w:r>
          </w:p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 students have access to texts. Give a brief overview of material and time for students to skim/review each text.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8"/>
              </w:numPr>
              <w:spacing w:after="0" w:after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James, A. (2008). Making Sense of Race and Racial Classification. In T. Zuberi &amp; E. Bonilla-Silva (Eds.),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White logic, white methods : Racism and methodology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(pp. 31-45). Rowman &amp; Littlefield Publishers.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8"/>
              </w:numPr>
              <w:spacing w:after="0" w:after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Harnois, C. (2018). Analyzing race and ethnicity with the GSS. In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Analyzing inequalities: An introduction to race, class, gender, and sexuality using the general social survey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 (pp. 65-96). SAGE Publications, Inc., 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highlight w:val="white"/>
                  <w:u w:val="single"/>
                  <w:rtl w:val="0"/>
                </w:rPr>
                <w:t xml:space="preserve">https://dx.doi.org/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8"/>
              </w:numPr>
              <w:spacing w:after="0" w:after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Ashok, S. (2016, August 27). The rise of the American ‘Others’. The Atlantic. </w:t>
            </w:r>
            <w:hyperlink r:id="rId28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highlight w:val="white"/>
                  <w:u w:val="single"/>
                  <w:rtl w:val="0"/>
                </w:rPr>
                <w:t xml:space="preserve">https://www.theatlantic.com/politics/archive/2016/08/the-rise-of-the-others/497690/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8"/>
              </w:numPr>
              <w:spacing w:after="0" w:afterAutospacing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Krause, H. (2021, August 27). We need to fill in the blanks in our social identity data.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We All Count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. </w:t>
            </w:r>
            <w:hyperlink r:id="rId29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highlight w:val="white"/>
                  <w:u w:val="single"/>
                  <w:rtl w:val="0"/>
                </w:rPr>
                <w:t xml:space="preserve">https://weallcount.com/2021/08/27/we-need-to-fill-in-the-blanks-in-our-social-identity-data/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8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Krause, H. (2020, December 4). No one is an asterisk.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We All Count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. </w:t>
            </w:r>
            <w:hyperlink r:id="rId30">
              <w:r w:rsidDel="00000000" w:rsidR="00000000" w:rsidRPr="00000000">
                <w:rPr>
                  <w:rFonts w:ascii="Arial" w:cs="Arial" w:eastAsia="Arial" w:hAnsi="Arial"/>
                  <w:sz w:val="22"/>
                  <w:szCs w:val="22"/>
                  <w:highlight w:val="white"/>
                  <w:u w:val="single"/>
                  <w:rtl w:val="0"/>
                </w:rPr>
                <w:t xml:space="preserve">https://weallcount.com/2020/12/04/no-one-is-an-asterisk/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8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Krause, H. (2020, June 26). Proxy variables part 2: race.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highlight w:val="white"/>
                <w:rtl w:val="0"/>
              </w:rPr>
              <w:t xml:space="preserve">We All Count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. https://weallcount.com/2020/06/26/proxy-variables-part-2-race/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15-Inequity-slides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3"/>
              </w:numPr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left="144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Slide 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Discussion on race. Questions on slide.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0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16/j.ijforecast.2014.06.001" TargetMode="External"/><Relationship Id="rId22" Type="http://schemas.openxmlformats.org/officeDocument/2006/relationships/hyperlink" Target="https://rohanalexander.com/posts/2020-02-11-a-review-of-forecasting-elections-with-non-representative-polls/" TargetMode="External"/><Relationship Id="rId21" Type="http://schemas.openxmlformats.org/officeDocument/2006/relationships/hyperlink" Target="https://doi.org/10.1016/j.ijforecast.2014.06.001" TargetMode="External"/><Relationship Id="rId24" Type="http://schemas.openxmlformats.org/officeDocument/2006/relationships/hyperlink" Target="https://doi.org/10.1093/ije/dyab010" TargetMode="External"/><Relationship Id="rId23" Type="http://schemas.openxmlformats.org/officeDocument/2006/relationships/hyperlink" Target="https://rohanalexander.com/posts/2020-02-11-a-review-of-forecasting-elections-with-non-representative-pol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dr.2013.08.003" TargetMode="External"/><Relationship Id="rId26" Type="http://schemas.openxmlformats.org/officeDocument/2006/relationships/hyperlink" Target="https://www.the-scientist.com/news-opinion/how-not-to-do-an-antibody-survey-for-sars-cov-2-67488" TargetMode="External"/><Relationship Id="rId25" Type="http://schemas.openxmlformats.org/officeDocument/2006/relationships/hyperlink" Target="https://www.the-scientist.com/news-opinion/how-not-to-do-an-antibody-survey-for-sars-cov-2-67488" TargetMode="External"/><Relationship Id="rId28" Type="http://schemas.openxmlformats.org/officeDocument/2006/relationships/hyperlink" Target="https://www.theatlantic.com/politics/archive/2016/08/the-rise-of-the-others/497690/" TargetMode="External"/><Relationship Id="rId27" Type="http://schemas.openxmlformats.org/officeDocument/2006/relationships/hyperlink" Target="https://dx.doi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lil.seas.harvard.edu/publications/differential-privacy-primer-non-technical-audience" TargetMode="External"/><Relationship Id="rId29" Type="http://schemas.openxmlformats.org/officeDocument/2006/relationships/hyperlink" Target="https://weallcount.com/2021/08/27/we-need-to-fill-in-the-blanks-in-our-social-identity-data/" TargetMode="External"/><Relationship Id="rId7" Type="http://schemas.openxmlformats.org/officeDocument/2006/relationships/hyperlink" Target="https://doi.org/10.1093/aje/kwi014" TargetMode="External"/><Relationship Id="rId8" Type="http://schemas.openxmlformats.org/officeDocument/2006/relationships/hyperlink" Target="https://jswve.org/download/2010-1/2dattalo-Ethical-dilemmas-in-sampling.pdf" TargetMode="External"/><Relationship Id="rId31" Type="http://schemas.openxmlformats.org/officeDocument/2006/relationships/hyperlink" Target="https://docs.google.com/presentation/d/1fGlo8gtrQ3A2t0w5kEwchi8U7EsIj-ZpnLYCZkSfgag/edit#slide=id.g111b8769f91_0_0" TargetMode="External"/><Relationship Id="rId30" Type="http://schemas.openxmlformats.org/officeDocument/2006/relationships/hyperlink" Target="https://weallcount.com/2020/12/04/no-one-is-an-asterisk/" TargetMode="External"/><Relationship Id="rId11" Type="http://schemas.openxmlformats.org/officeDocument/2006/relationships/hyperlink" Target="https://www.theatlantic.com/politics/archive/2016/08/the-rise-of-the-others/497690/" TargetMode="External"/><Relationship Id="rId10" Type="http://schemas.openxmlformats.org/officeDocument/2006/relationships/hyperlink" Target="https://dx.doi.org/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weallcount.com/2020/12/04/no-one-is-an-asterisk/" TargetMode="External"/><Relationship Id="rId12" Type="http://schemas.openxmlformats.org/officeDocument/2006/relationships/hyperlink" Target="https://weallcount.com/2021/08/27/we-need-to-fill-in-the-blanks-in-our-social-identity-data/" TargetMode="External"/><Relationship Id="rId15" Type="http://schemas.openxmlformats.org/officeDocument/2006/relationships/hyperlink" Target="https://docs.google.com/presentation/d/149e_5quB-yEJ_fgvs31rccskVm-tGKBpzg_loF4tgjY/edit#slide=id.g11276578757_0_0" TargetMode="External"/><Relationship Id="rId14" Type="http://schemas.openxmlformats.org/officeDocument/2006/relationships/hyperlink" Target="https://salil.seas.harvard.edu/publications/differential-privacy-primer-non-technical-audience" TargetMode="External"/><Relationship Id="rId17" Type="http://schemas.openxmlformats.org/officeDocument/2006/relationships/hyperlink" Target="https://jswve.org/download/2010-1/2dattalo-Ethical-dilemmas-in-sampling.pdf" TargetMode="External"/><Relationship Id="rId16" Type="http://schemas.openxmlformats.org/officeDocument/2006/relationships/hyperlink" Target="https://doi.org/10.1093/aje/kwi014" TargetMode="External"/><Relationship Id="rId19" Type="http://schemas.openxmlformats.org/officeDocument/2006/relationships/hyperlink" Target="https://docs.google.com/presentation/d/1fWb2pb0m3QwRi79fObELLCBvtlyRwjsZQ4zOUWefV4E/edit#slide=id.p" TargetMode="External"/><Relationship Id="rId18" Type="http://schemas.openxmlformats.org/officeDocument/2006/relationships/hyperlink" Target="https://doi.org/10.1016/j.dr.2013.08.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