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 xml:space="preserve">20-182506</w:t>
      </w:r>
      <w:r w:rsidR="002073F5">
        <w:rPr>
          <w:rFonts w:ascii="Verdana" w:eastAsia="Arial" w:hAnsi="Verdana" w:cs="Arial"/>
          <w:b/>
          <w:noProof/>
          <w:sz w:val="22"/>
          <w:szCs w:val="22"/>
          <w:highlight w:val="yellow"/>
        </w:rPr>
        <w:t/>
      </w:r>
      <w:r w:rsidR="009D1799">
        <w:rPr>
          <w:rFonts w:ascii="Verdana" w:eastAsia="Arial" w:hAnsi="Verdana" w:cs="Arial"/>
          <w:b/>
          <w:noProof/>
          <w:sz w:val="22"/>
          <w:szCs w:val="22"/>
          <w:highlight w:val="yellow"/>
        </w:rPr>
        <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18 de junio de 2020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IBEROMODA S.A.S.</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900.207.065-3</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48704</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27 de julio de 2022</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IBEROMODA S.A.S.</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4318169F"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5930</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BA48D6">
        <w:rPr>
          <w:rFonts w:ascii="Verdana" w:hAnsi="Verdana" w:cs="Arial"/>
          <w:noProof/>
          <w:sz w:val="22"/>
          <w:szCs w:val="22"/>
          <w:highlight w:val="yellow"/>
          <w:lang w:val="es-CO"/>
        </w:rPr>
        <w:t xml:space="preserve">27 de julio de 2022</w:t>
      </w:r>
      <w:r w:rsidR="002073F5">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BA48D6">
        <w:rPr>
          <w:rFonts w:ascii="Verdana" w:hAnsi="Verdana" w:cs="Arial"/>
          <w:sz w:val="22"/>
          <w:szCs w:val="22"/>
        </w:rPr>
        <w:t/>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900.207.065-3</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 xml:space="preserve">INDEFINIDO</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INDEFINIDO</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INDEFINIDO</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66A6702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 xml:space="preserve">Como consideraciones preliminares, esta Dirección estima pertinente aclarar que el poder sancionatorio de la administración ha sido definido por </w:t>
      </w:r>
      <w:proofErr w:type="spellStart"/>
      <w:r w:rsidRPr="005F364C">
        <w:rPr>
          <w:rFonts w:ascii="Verdana" w:eastAsia="Times New Roman" w:hAnsi="Verdana" w:cs="Arial"/>
          <w:sz w:val="22"/>
          <w:szCs w:val="22"/>
          <w:lang w:val="es-CO"/>
        </w:rPr>
        <w:t>l</w:t>
      </w:r>
      <w:r w:rsidR="006051A9">
        <w:rPr>
          <w:rFonts w:ascii="Verdana" w:eastAsia="Times New Roman" w:hAnsi="Verdana" w:cs="Arial"/>
          <w:sz w:val="22"/>
          <w:szCs w:val="22"/>
          <w:lang w:val="es-CO"/>
        </w:rPr>
        <w:t>V</w:t>
      </w:r>
      <w:r w:rsidRPr="005F364C">
        <w:rPr>
          <w:rFonts w:ascii="Verdana" w:eastAsia="Times New Roman" w:hAnsi="Verdana" w:cs="Arial"/>
          <w:sz w:val="22"/>
          <w:szCs w:val="22"/>
          <w:lang w:val="es-CO"/>
        </w:rPr>
        <w:t>a</w:t>
      </w:r>
      <w:proofErr w:type="spellEnd"/>
      <w:r w:rsidRPr="005F364C">
        <w:rPr>
          <w:rFonts w:ascii="Verdana" w:eastAsia="Times New Roman" w:hAnsi="Verdana" w:cs="Arial"/>
          <w:sz w:val="22"/>
          <w:szCs w:val="22"/>
          <w:lang w:val="es-CO"/>
        </w:rPr>
        <w:t xml:space="preserve">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5930</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 xml:space="preserve">undefined</w:t>
      </w:r>
      <w:r w:rsidR="002073F5">
        <w:rPr>
          <w:rFonts w:ascii="Verdana" w:eastAsia="Times New Roman" w:hAnsi="Verdana" w:cs="Arial"/>
          <w:b/>
          <w:noProof/>
          <w:sz w:val="22"/>
          <w:szCs w:val="22"/>
          <w:highlight w:val="yellow"/>
          <w:lang w:eastAsia="es-ES_tradnl"/>
        </w:rPr>
        <w:t/>
      </w:r>
      <w:r w:rsidR="009D1799">
        <w:rPr>
          <w:rFonts w:ascii="Verdana" w:eastAsia="Times New Roman" w:hAnsi="Verdana" w:cs="Arial"/>
          <w:b/>
          <w:noProof/>
          <w:sz w:val="22"/>
          <w:szCs w:val="22"/>
          <w:highlight w:val="yellow"/>
          <w:lang w:eastAsia="es-ES_tradnl"/>
        </w:rPr>
        <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5930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5930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 xml:space="preserve">5930</w:t>
      </w:r>
      <w:r w:rsidR="002073F5">
        <w:rPr>
          <w:rFonts w:ascii="Verdana" w:eastAsia="Arial" w:hAnsi="Verdana" w:cs="Arial"/>
          <w:noProof/>
          <w:sz w:val="22"/>
          <w:szCs w:val="22"/>
          <w:highlight w:val="yellow"/>
          <w:lang w:val="es-CO"/>
        </w:rPr>
        <w:t/>
      </w:r>
      <w:r w:rsidR="009D1799">
        <w:rPr>
          <w:rFonts w:ascii="Verdana" w:eastAsia="Arial" w:hAnsi="Verdana" w:cs="Arial"/>
          <w:noProof/>
          <w:sz w:val="22"/>
          <w:szCs w:val="22"/>
          <w:highlight w:val="yellow"/>
          <w:lang w:val="es-CO"/>
        </w:rPr>
        <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5930</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INDEFINIDO</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INDEFINIDO</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INDEFINIDO</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 xml:space="preserve">undefined</w:t>
      </w:r>
      <w:r w:rsidR="002073F5" w:rsidRPr="009D1799">
        <w:rPr>
          <w:rFonts w:ascii="Verdana" w:eastAsia="Times New Roman" w:hAnsi="Verdana" w:cs="Arial"/>
          <w:bCs/>
          <w:noProof/>
          <w:sz w:val="22"/>
          <w:szCs w:val="22"/>
          <w:highlight w:val="yellow"/>
        </w:rPr>
        <w:t/>
      </w:r>
      <w:r w:rsidR="009D1799">
        <w:rPr>
          <w:rFonts w:ascii="Verdana" w:eastAsia="Times New Roman" w:hAnsi="Verdana" w:cs="Arial"/>
          <w:bCs/>
          <w:noProof/>
          <w:sz w:val="22"/>
          <w:szCs w:val="22"/>
        </w:rPr>
        <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INDEFINIDO</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INDEFINIDO</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INDEFINIDO</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 xml:space="preserve">INDEFINIDO</w:t>
      </w:r>
      <w:r w:rsidR="002073F5">
        <w:rPr>
          <w:rFonts w:ascii="Verdana" w:hAnsi="Verdana" w:cs="Arial"/>
          <w:bCs/>
          <w:noProof/>
          <w:sz w:val="22"/>
          <w:szCs w:val="22"/>
          <w:highlight w:val="yellow"/>
        </w:rPr>
        <w:t/>
      </w:r>
      <w:r w:rsidR="009D1799">
        <w:rPr>
          <w:rFonts w:ascii="Verdana" w:hAnsi="Verdana" w:cs="Arial"/>
          <w:bCs/>
          <w:noProof/>
          <w:sz w:val="22"/>
          <w:szCs w:val="22"/>
          <w:highlight w:val="yellow"/>
        </w:rPr>
        <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20-182506-2</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10 de septiembre de 2020</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 xml:space="preserve">INDEFINIDO</w:t>
      </w:r>
      <w:r w:rsidR="002073F5">
        <w:rPr>
          <w:rFonts w:ascii="Verdana" w:eastAsia="Arial" w:hAnsi="Verdana" w:cs="Arial"/>
          <w:noProof/>
          <w:color w:val="000000"/>
          <w:sz w:val="22"/>
          <w:szCs w:val="22"/>
          <w:highlight w:val="yellow"/>
          <w:lang w:val="es-CO"/>
        </w:rPr>
        <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 xml:space="preserve">5930</w:t>
      </w:r>
      <w:r w:rsidR="002073F5">
        <w:rPr>
          <w:rFonts w:ascii="Verdana" w:hAnsi="Verdana" w:cs="Arial"/>
          <w:bCs/>
          <w:noProof/>
          <w:sz w:val="22"/>
          <w:szCs w:val="22"/>
          <w:highlight w:val="yellow"/>
          <w:lang w:eastAsia="es-ES_tradnl"/>
        </w:rPr>
        <w:t/>
      </w:r>
      <w:r w:rsidR="009D1799">
        <w:rPr>
          <w:rFonts w:ascii="Verdana" w:hAnsi="Verdana" w:cs="Arial"/>
          <w:bCs/>
          <w:noProof/>
          <w:sz w:val="22"/>
          <w:szCs w:val="22"/>
          <w:highlight w:val="yellow"/>
          <w:lang w:eastAsia="es-ES_tradnl"/>
        </w:rPr>
        <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28 de febrero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BB70F7">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 xml:space="preserve">MARÍA DEL ROSARIO GÓMEZ JARAMILLO</w:t>
      </w:r>
      <w:r w:rsidR="002073F5">
        <w:rPr>
          <w:rFonts w:ascii="Verdana" w:hAnsi="Verdana" w:cs="Arial"/>
          <w:b/>
          <w:noProof/>
          <w:sz w:val="22"/>
          <w:szCs w:val="22"/>
          <w:highlight w:val="yellow"/>
        </w:rPr>
        <w:t/>
      </w:r>
      <w:r w:rsidR="00BB70F7">
        <w:rPr>
          <w:rFonts w:ascii="Verdana" w:hAnsi="Verdana" w:cs="Arial"/>
          <w:b/>
          <w:noProof/>
          <w:sz w:val="22"/>
          <w:szCs w:val="22"/>
          <w:highlight w:val="yellow"/>
        </w:rPr>
        <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INDEFINIDO</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INDEFINIDO</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 xml:space="preserve">notificaciones@texmoda.com.co</w:t>
      </w:r>
      <w:r w:rsidR="002073F5">
        <w:rPr>
          <w:rFonts w:ascii="Verdana" w:hAnsi="Verdana" w:cs="Arial"/>
          <w:noProof/>
          <w:color w:val="000000"/>
          <w:sz w:val="22"/>
          <w:szCs w:val="22"/>
          <w:highlight w:val="yellow"/>
        </w:rPr>
        <w:t/>
      </w:r>
      <w:r w:rsidR="00BB70F7">
        <w:rPr>
          <w:rFonts w:ascii="Verdana" w:hAnsi="Verdana" w:cs="Arial"/>
          <w:noProof/>
          <w:color w:val="000000"/>
          <w:sz w:val="22"/>
          <w:szCs w:val="22"/>
          <w:highlight w:val="yellow"/>
        </w:rPr>
        <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 xml:space="preserve">INDEFINIDO</w:t>
      </w:r>
      <w:r w:rsidR="002073F5" w:rsidRPr="009908DA">
        <w:rPr>
          <w:rFonts w:ascii="Verdana" w:hAnsi="Verdana" w:cs="Arial"/>
          <w:b/>
          <w:noProof/>
          <w:sz w:val="22"/>
          <w:szCs w:val="22"/>
          <w:highlight w:val="yellow"/>
        </w:rPr>
        <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INDEFINIDO</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INDEFINIDO</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Bogotá D.C.</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 xml:space="preserve">INDEFINIDO</w:t>
      </w:r>
      <w:r w:rsidR="002073F5" w:rsidRPr="009908DA">
        <w:rPr>
          <w:noProof/>
          <w:highlight w:val="yellow"/>
        </w:rPr>
        <w:t/>
      </w:r>
      <w:r w:rsidR="00BB70F7" w:rsidRPr="009908DA">
        <w:rPr>
          <w:noProof/>
          <w:highlight w:val="yellow"/>
        </w:rPr>
        <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3DED" w14:textId="77777777" w:rsidR="002E6600" w:rsidRDefault="002E6600" w:rsidP="0046026F">
      <w:r>
        <w:separator/>
      </w:r>
    </w:p>
    <w:p w14:paraId="6D44A368" w14:textId="77777777" w:rsidR="002E6600" w:rsidRDefault="002E6600"/>
    <w:p w14:paraId="7D3DC5C9" w14:textId="77777777" w:rsidR="002E6600" w:rsidRDefault="002E6600"/>
  </w:endnote>
  <w:endnote w:type="continuationSeparator" w:id="0">
    <w:p w14:paraId="4D4FB52D" w14:textId="77777777" w:rsidR="002E6600" w:rsidRDefault="002E6600" w:rsidP="0046026F">
      <w:r>
        <w:continuationSeparator/>
      </w:r>
    </w:p>
    <w:p w14:paraId="05E652D2" w14:textId="77777777" w:rsidR="002E6600" w:rsidRDefault="002E6600"/>
    <w:p w14:paraId="70040319" w14:textId="77777777" w:rsidR="002E6600" w:rsidRDefault="002E6600"/>
  </w:endnote>
  <w:endnote w:type="continuationNotice" w:id="1">
    <w:p w14:paraId="1393D84E" w14:textId="77777777" w:rsidR="002E6600" w:rsidRDefault="002E6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6FEC" w14:textId="77777777" w:rsidR="002E6600" w:rsidRDefault="002E6600" w:rsidP="0046026F">
      <w:r>
        <w:separator/>
      </w:r>
    </w:p>
    <w:p w14:paraId="1357985D" w14:textId="77777777" w:rsidR="002E6600" w:rsidRDefault="002E6600"/>
    <w:p w14:paraId="227CE348" w14:textId="77777777" w:rsidR="002E6600" w:rsidRDefault="002E6600"/>
  </w:footnote>
  <w:footnote w:type="continuationSeparator" w:id="0">
    <w:p w14:paraId="15286DC8" w14:textId="77777777" w:rsidR="002E6600" w:rsidRDefault="002E6600" w:rsidP="0046026F">
      <w:r>
        <w:continuationSeparator/>
      </w:r>
    </w:p>
    <w:p w14:paraId="4B08619B" w14:textId="77777777" w:rsidR="002E6600" w:rsidRDefault="002E6600"/>
    <w:p w14:paraId="1B9549E2" w14:textId="77777777" w:rsidR="002E6600" w:rsidRDefault="002E6600"/>
  </w:footnote>
  <w:footnote w:type="continuationNotice" w:id="1">
    <w:p w14:paraId="3BA63251" w14:textId="77777777" w:rsidR="002E6600" w:rsidRDefault="002E6600"/>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20-182506</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2E6600"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2E6600"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2E6600">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2E6600"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E6600"/>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051A9"/>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737C2"/>
    <w:rsid w:val="00B82732"/>
    <w:rsid w:val="00B858CC"/>
    <w:rsid w:val="00B92174"/>
    <w:rsid w:val="00B9265B"/>
    <w:rsid w:val="00B95CA6"/>
    <w:rsid w:val="00B96CC0"/>
    <w:rsid w:val="00BA0A4C"/>
    <w:rsid w:val="00BA3A96"/>
    <w:rsid w:val="00BA48D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6986</Words>
  <Characters>38427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6</cp:revision>
  <dcterms:created xsi:type="dcterms:W3CDTF">2024-09-01T17:09:00Z</dcterms:created>
  <dcterms:modified xsi:type="dcterms:W3CDTF">2024-09-21T04:34:00Z</dcterms:modified>
</cp:coreProperties>
</file>