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w:t>
      </w:r>
      <w:r w:rsidR="002073F5">
        <w:rPr>
          <w:rFonts w:ascii="Verdana" w:eastAsia="Arial" w:hAnsi="Verdana" w:cs="Arial"/>
          <w:b/>
          <w:noProof/>
          <w:sz w:val="22"/>
          <w:szCs w:val="22"/>
          <w:highlight w:val="yellow"/>
        </w:rPr>
        <w:t>Radicado_expedient</w:t>
      </w:r>
      <w:r w:rsidR="009D1799">
        <w:rPr>
          <w:rFonts w:ascii="Verdana" w:eastAsia="Arial" w:hAnsi="Verdana" w:cs="Arial"/>
          <w:b/>
          <w:noProof/>
          <w:sz w:val="22"/>
          <w:szCs w:val="22"/>
          <w:highlight w:val="yellow"/>
        </w:rPr>
        <w:t>e}}</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Queja_o_denunci</w:t>
      </w:r>
      <w:r w:rsidR="009D1799">
        <w:rPr>
          <w:rFonts w:ascii="Verdana" w:hAnsi="Verdana"/>
          <w:noProof/>
          <w:sz w:val="22"/>
          <w:szCs w:val="22"/>
          <w:highlight w:val="yellow"/>
        </w:rPr>
        <w:t>a}}</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Fecha_de_la_queja</w:t>
      </w:r>
      <w:r w:rsidR="009D1799">
        <w:rPr>
          <w:rFonts w:ascii="Verdana" w:hAnsi="Verdana"/>
          <w:noProof/>
          <w:sz w:val="22"/>
          <w:szCs w:val="22"/>
          <w:highlight w:val="yellow"/>
        </w:rPr>
        <w:t>}}</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Investigada</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w:t>
      </w:r>
      <w:r w:rsidR="002073F5">
        <w:rPr>
          <w:rFonts w:ascii="Verdana" w:hAnsi="Verdana"/>
          <w:b/>
          <w:bCs/>
          <w:noProof/>
          <w:sz w:val="22"/>
          <w:szCs w:val="22"/>
          <w:highlight w:val="yellow"/>
        </w:rPr>
        <w:t>No_Id_NIT_O_CC</w:t>
      </w:r>
      <w:r w:rsidR="009D1799">
        <w:rPr>
          <w:rFonts w:ascii="Verdana" w:hAnsi="Verdana"/>
          <w:b/>
          <w:bCs/>
          <w:noProof/>
          <w:sz w:val="22"/>
          <w:szCs w:val="22"/>
          <w:highlight w:val="yellow"/>
        </w:rPr>
        <w:t>}}</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Fecha_plazo_para_entregar_documentos</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Radicado_requerimiento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Fecha_del_requerimiento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Fecha_de_entrega_del_oficio_de_reque</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Dirección_investigada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Ciudad_de_la_investigada</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Certificado_de_trazabilidad</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w:t>
      </w:r>
      <w:r w:rsidR="002073F5">
        <w:rPr>
          <w:rFonts w:ascii="Verdana" w:hAnsi="Verdana"/>
          <w:noProof/>
          <w:sz w:val="22"/>
          <w:szCs w:val="22"/>
          <w:highlight w:val="yellow"/>
        </w:rPr>
        <w:t>No_De_consecutivo</w:t>
      </w:r>
      <w:r w:rsidR="009D1799">
        <w:rPr>
          <w:rFonts w:ascii="Verdana" w:hAnsi="Verdana"/>
          <w:noProof/>
          <w:sz w:val="22"/>
          <w:szCs w:val="22"/>
          <w:highlight w:val="yellow"/>
        </w:rPr>
        <w:t>}}</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Resolución_de_la_investigación_Administr</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Fecha_de_la_resolución_de_invest</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Investigada</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54A7C651"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Resolución_de_la_sanción</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2073F5">
        <w:rPr>
          <w:rFonts w:ascii="Verdana" w:hAnsi="Verdana" w:cs="Arial"/>
          <w:noProof/>
          <w:sz w:val="22"/>
          <w:szCs w:val="22"/>
          <w:highlight w:val="yellow"/>
        </w:rPr>
        <w:t>«Fecha_de_la_resolución_de_invest»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No_Id_NIT_O_CC</w:t>
      </w:r>
      <w:r w:rsidR="009D1799">
        <w:rPr>
          <w:rFonts w:ascii="Verdana" w:hAnsi="Verdana" w:cs="Arial"/>
          <w:noProof/>
          <w:sz w:val="22"/>
          <w:szCs w:val="22"/>
          <w:highlight w:val="yellow"/>
        </w:rPr>
        <w:t>}}</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w:t>
      </w:r>
      <w:proofErr w:type="spellStart"/>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Valor_de_la_multa</w:t>
      </w:r>
      <w:proofErr w:type="spellEnd"/>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Número_de_salarios_m_</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Número_UVB</w:t>
      </w:r>
      <w:r w:rsidR="009D1799">
        <w:rPr>
          <w:rFonts w:ascii="Verdana" w:hAnsi="Verdana" w:cs="Arial"/>
          <w:b/>
          <w:bCs/>
          <w:noProof/>
          <w:sz w:val="22"/>
          <w:szCs w:val="22"/>
          <w:highlight w:val="yellow"/>
        </w:rPr>
        <w:t>}}</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w:t>
      </w:r>
      <w:r w:rsidR="002073F5">
        <w:rPr>
          <w:rFonts w:ascii="Verdana" w:hAnsi="Verdana" w:cs="Arial"/>
          <w:b/>
          <w:bCs/>
          <w:noProof/>
          <w:sz w:val="22"/>
          <w:szCs w:val="22"/>
          <w:highlight w:val="yellow"/>
        </w:rPr>
        <w:t>Investigada</w:t>
      </w:r>
      <w:r w:rsidR="009D1799">
        <w:rPr>
          <w:rFonts w:ascii="Verdana" w:hAnsi="Verdana" w:cs="Arial"/>
          <w:b/>
          <w:bCs/>
          <w:noProof/>
          <w:sz w:val="22"/>
          <w:szCs w:val="22"/>
          <w:highlight w:val="yellow"/>
        </w:rPr>
        <w:t>}}</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7777777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Como consideraciones preliminares, esta Dirección estima pertinente aclarar que el poder sancionatorio de la administración ha sido definido por la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Radicado_de_certificado_de_notificación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Fecha_de_notificación_de_la_sanción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Resolución_de_la_sanción</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Fecha_de_fin_del_término_para_recurso_1</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Fecha_de_presentación_recurso_de_reposic</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Radicado_del_recurso</w:t>
      </w:r>
      <w:r w:rsidR="009D1799">
        <w:rPr>
          <w:rFonts w:ascii="Verdana" w:hAnsi="Verdana" w:cs="Arial"/>
          <w:bCs/>
          <w:noProof/>
          <w:sz w:val="22"/>
          <w:szCs w:val="22"/>
          <w:highlight w:val="yellow"/>
          <w:lang w:val="es-CO" w:eastAsia="es-ES_tradnl"/>
        </w:rPr>
        <w:t>}}</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w:t>
      </w:r>
      <w:r w:rsidR="002073F5">
        <w:rPr>
          <w:rFonts w:ascii="Verdana" w:eastAsia="Times New Roman" w:hAnsi="Verdana" w:cs="Arial"/>
          <w:b/>
          <w:noProof/>
          <w:sz w:val="22"/>
          <w:szCs w:val="22"/>
          <w:highlight w:val="yellow"/>
          <w:lang w:eastAsia="es-ES_tradnl"/>
        </w:rPr>
        <w:t>Título_del_argumento_sustancial</w:t>
      </w:r>
      <w:r w:rsidR="009D1799">
        <w:rPr>
          <w:rFonts w:ascii="Verdana" w:eastAsia="Times New Roman" w:hAnsi="Verdana" w:cs="Arial"/>
          <w:b/>
          <w:noProof/>
          <w:sz w:val="22"/>
          <w:szCs w:val="22"/>
          <w:highlight w:val="yellow"/>
          <w:lang w:eastAsia="es-ES_tradnl"/>
        </w:rPr>
        <w:t>}}</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Primer_argumento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Segundo_argumento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Tercer_argumento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Resolución_de_la_sanción</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Cuarto_Argumento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Quinto_argumento</w:t>
      </w:r>
      <w:r w:rsidR="009D1799">
        <w:rPr>
          <w:rFonts w:ascii="Verdana" w:eastAsia="Times New Roman" w:hAnsi="Verdana" w:cs="Arial"/>
          <w:bCs/>
          <w:noProof/>
          <w:sz w:val="22"/>
          <w:szCs w:val="22"/>
          <w:highlight w:val="yellow"/>
          <w:lang w:val="es-CO" w:eastAsia="es-ES_tradnl"/>
        </w:rPr>
        <w:t>}}</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w:t>
      </w:r>
      <w:r w:rsidR="002073F5">
        <w:rPr>
          <w:rFonts w:ascii="Verdana" w:eastAsia="Arial" w:hAnsi="Verdana" w:cs="Arial"/>
          <w:noProof/>
          <w:sz w:val="22"/>
          <w:szCs w:val="22"/>
          <w:highlight w:val="yellow"/>
          <w:lang w:val="es-CO"/>
        </w:rPr>
        <w:t>Resolución_de_la_sanción</w:t>
      </w:r>
      <w:r w:rsidR="009D1799">
        <w:rPr>
          <w:rFonts w:ascii="Verdana" w:eastAsia="Arial" w:hAnsi="Verdana" w:cs="Arial"/>
          <w:noProof/>
          <w:sz w:val="22"/>
          <w:szCs w:val="22"/>
          <w:highlight w:val="yellow"/>
          <w:lang w:val="es-CO"/>
        </w:rPr>
        <w:t>}}</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Resolución_de_la_sanción</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w:t>
      </w:r>
      <w:r w:rsidR="002073F5">
        <w:rPr>
          <w:rFonts w:ascii="Verdana" w:hAnsi="Verdana" w:cs="Arial"/>
          <w:noProof/>
          <w:sz w:val="22"/>
          <w:szCs w:val="22"/>
          <w:highlight w:val="yellow"/>
          <w:lang w:val="es-CO"/>
        </w:rPr>
        <w:t>Folio_de_la_decisión_en_la_que_se_señala</w:t>
      </w:r>
      <w:r w:rsidR="009D1799">
        <w:rPr>
          <w:rFonts w:ascii="Verdana" w:hAnsi="Verdana" w:cs="Arial"/>
          <w:noProof/>
          <w:sz w:val="22"/>
          <w:szCs w:val="22"/>
          <w:highlight w:val="yellow"/>
          <w:lang w:val="es-CO"/>
        </w:rPr>
        <w:t>}}</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w:t>
      </w:r>
      <w:r w:rsidR="002073F5">
        <w:rPr>
          <w:rFonts w:ascii="Verdana" w:hAnsi="Verdana" w:cs="Arial"/>
          <w:noProof/>
          <w:sz w:val="22"/>
          <w:szCs w:val="22"/>
          <w:highlight w:val="yellow"/>
        </w:rPr>
        <w:t>Argumento_por_no_haber_respondido_a_tiem</w:t>
      </w:r>
      <w:r w:rsidR="009D1799">
        <w:rPr>
          <w:rFonts w:ascii="Verdana" w:hAnsi="Verdana" w:cs="Arial"/>
          <w:noProof/>
          <w:sz w:val="22"/>
          <w:szCs w:val="22"/>
          <w:highlight w:val="yellow"/>
        </w:rPr>
        <w:t>}}</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Radicado_no_en_el_que_se_justifica</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w:t>
      </w:r>
      <w:r w:rsidR="002073F5">
        <w:rPr>
          <w:rFonts w:ascii="Verdana" w:eastAsia="Times New Roman" w:hAnsi="Verdana" w:cs="Arial"/>
          <w:bCs/>
          <w:noProof/>
          <w:sz w:val="22"/>
          <w:szCs w:val="22"/>
          <w:highlight w:val="yellow"/>
          <w:lang w:val="es-CO" w:eastAsia="es-ES_tradnl"/>
        </w:rPr>
        <w:t>Fecha_del_radicado_en_el_que_se_justific</w:t>
      </w:r>
      <w:r w:rsidR="009D1799">
        <w:rPr>
          <w:rFonts w:ascii="Verdana" w:eastAsia="Times New Roman" w:hAnsi="Verdana" w:cs="Arial"/>
          <w:bCs/>
          <w:noProof/>
          <w:sz w:val="22"/>
          <w:szCs w:val="22"/>
          <w:highlight w:val="yellow"/>
          <w:lang w:val="es-CO" w:eastAsia="es-ES_tradnl"/>
        </w:rPr>
        <w:t>}}</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Argumento_1_sobre_la_dosificación_de_la_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Argumento_2_sobre_la_dosificación_de_la_</w:t>
      </w:r>
      <w:r w:rsidR="009D1799">
        <w:rPr>
          <w:rFonts w:ascii="Verdana" w:eastAsia="Times New Roman" w:hAnsi="Verdana" w:cs="Arial"/>
          <w:noProof/>
          <w:sz w:val="22"/>
          <w:szCs w:val="22"/>
          <w:highlight w:val="yellow"/>
          <w:lang w:val="es-CO" w:eastAsia="es-ES_tradnl"/>
        </w:rPr>
        <w:t>}}</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Argumento_3_sobre_la_dosificación_de_la_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w:t>
      </w:r>
      <w:r w:rsidR="002073F5" w:rsidRPr="009D1799">
        <w:rPr>
          <w:rFonts w:ascii="Verdana" w:eastAsia="Times New Roman" w:hAnsi="Verdana" w:cs="Arial"/>
          <w:bCs/>
          <w:noProof/>
          <w:sz w:val="22"/>
          <w:szCs w:val="22"/>
          <w:highlight w:val="yellow"/>
        </w:rPr>
        <w:t>Argumento_4_sobre_la_dosificación_de_la_</w:t>
      </w:r>
      <w:r w:rsidR="009D1799">
        <w:rPr>
          <w:rFonts w:ascii="Verdana" w:eastAsia="Times New Roman" w:hAnsi="Verdana" w:cs="Arial"/>
          <w:bCs/>
          <w:noProof/>
          <w:sz w:val="22"/>
          <w:szCs w:val="22"/>
        </w:rPr>
        <w:t>}}</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w:t>
      </w:r>
      <w:r w:rsidR="002073F5">
        <w:rPr>
          <w:rFonts w:ascii="Verdana" w:eastAsia="Times New Roman" w:hAnsi="Verdana" w:cs="Arial"/>
          <w:bCs/>
          <w:noProof/>
          <w:sz w:val="22"/>
          <w:szCs w:val="22"/>
          <w:highlight w:val="yellow"/>
        </w:rPr>
        <w:t>Argumento_5_sobre_la_dosificación_de_la_</w:t>
      </w:r>
      <w:r w:rsidR="009D1799">
        <w:rPr>
          <w:rFonts w:ascii="Verdana" w:eastAsia="Times New Roman" w:hAnsi="Verdana" w:cs="Arial"/>
          <w:bCs/>
          <w:noProof/>
          <w:sz w:val="22"/>
          <w:szCs w:val="22"/>
          <w:highlight w:val="yellow"/>
        </w:rPr>
        <w:t>}}</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Investigada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9D1799">
        <w:rPr>
          <w:rFonts w:ascii="Verdana" w:hAnsi="Verdana" w:cs="Arial"/>
          <w:bCs/>
          <w:noProof/>
          <w:sz w:val="22"/>
          <w:szCs w:val="22"/>
          <w:highlight w:val="yellow"/>
          <w:lang w:val="es-CO" w:eastAsia="es-ES_tradnl"/>
        </w:rPr>
        <w:t>}}</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Valor_de_la_multa</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Número_de_salarios_m_</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w:t>
      </w:r>
      <w:r w:rsidR="002073F5">
        <w:rPr>
          <w:rFonts w:ascii="Verdana" w:hAnsi="Verdana" w:cs="Arial"/>
          <w:b/>
          <w:noProof/>
          <w:sz w:val="22"/>
          <w:szCs w:val="22"/>
          <w:highlight w:val="yellow"/>
          <w:lang w:val="es-CO" w:eastAsia="es-ES_tradnl"/>
        </w:rPr>
        <w:t>Número_UVB</w:t>
      </w:r>
      <w:r w:rsidR="009D1799">
        <w:rPr>
          <w:rFonts w:ascii="Verdana" w:hAnsi="Verdana" w:cs="Arial"/>
          <w:b/>
          <w:noProof/>
          <w:sz w:val="22"/>
          <w:szCs w:val="22"/>
          <w:highlight w:val="yellow"/>
          <w:lang w:val="es-CO" w:eastAsia="es-ES_tradnl"/>
        </w:rPr>
        <w:t>}}</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w:t>
      </w:r>
      <w:r w:rsidR="002073F5">
        <w:rPr>
          <w:rFonts w:ascii="Verdana" w:hAnsi="Verdana" w:cs="Arial"/>
          <w:bCs/>
          <w:noProof/>
          <w:sz w:val="22"/>
          <w:szCs w:val="22"/>
          <w:highlight w:val="yellow"/>
        </w:rPr>
        <w:t>Relación_de_criterios_dosificación</w:t>
      </w:r>
      <w:r w:rsidR="009D1799">
        <w:rPr>
          <w:rFonts w:ascii="Verdana" w:hAnsi="Verdana" w:cs="Arial"/>
          <w:bCs/>
          <w:noProof/>
          <w:sz w:val="22"/>
          <w:szCs w:val="22"/>
          <w:highlight w:val="yellow"/>
        </w:rPr>
        <w:t>}}</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Radicado_requerimiento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w:t>
      </w:r>
      <w:r w:rsidR="002073F5">
        <w:rPr>
          <w:rFonts w:ascii="Verdana" w:eastAsia="Times New Roman" w:hAnsi="Verdana" w:cs="Arial"/>
          <w:noProof/>
          <w:sz w:val="22"/>
          <w:szCs w:val="22"/>
          <w:highlight w:val="yellow"/>
          <w:lang w:val="es-CO" w:eastAsia="es-ES_tradnl"/>
        </w:rPr>
        <w:t>Fecha_del_requerimiento</w:t>
      </w:r>
      <w:r w:rsidR="009D1799">
        <w:rPr>
          <w:rFonts w:ascii="Verdana" w:eastAsia="Times New Roman" w:hAnsi="Verdana" w:cs="Arial"/>
          <w:noProof/>
          <w:sz w:val="22"/>
          <w:szCs w:val="22"/>
          <w:highlight w:val="yellow"/>
          <w:lang w:val="es-CO" w:eastAsia="es-ES_tradnl"/>
        </w:rPr>
        <w:t>}}</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w:t>
      </w:r>
      <w:r w:rsidR="002073F5">
        <w:rPr>
          <w:rFonts w:ascii="Verdana" w:eastAsia="Arial" w:hAnsi="Verdana" w:cs="Arial"/>
          <w:noProof/>
          <w:color w:val="000000"/>
          <w:sz w:val="22"/>
          <w:szCs w:val="22"/>
          <w:highlight w:val="yellow"/>
          <w:lang w:val="es-CO"/>
        </w:rPr>
        <w:t>Meses_de_afectación</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w:t>
      </w:r>
      <w:r w:rsidR="002073F5">
        <w:rPr>
          <w:rFonts w:ascii="Verdana" w:hAnsi="Verdana" w:cs="Arial"/>
          <w:bCs/>
          <w:noProof/>
          <w:sz w:val="22"/>
          <w:szCs w:val="22"/>
          <w:highlight w:val="yellow"/>
          <w:lang w:eastAsia="es-ES_tradnl"/>
        </w:rPr>
        <w:t>Resolución_de_la_sanción</w:t>
      </w:r>
      <w:r w:rsidR="009D1799">
        <w:rPr>
          <w:rFonts w:ascii="Verdana" w:hAnsi="Verdana" w:cs="Arial"/>
          <w:bCs/>
          <w:noProof/>
          <w:sz w:val="22"/>
          <w:szCs w:val="22"/>
          <w:highlight w:val="yellow"/>
          <w:lang w:eastAsia="es-ES_tradnl"/>
        </w:rPr>
        <w:t>}}</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Fecha_de_la_resolución_de_sanción</w:t>
      </w:r>
      <w:r w:rsidR="009D1799">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 xml:space="preserve">Superintendente </w:t>
      </w:r>
      <w:proofErr w:type="gramStart"/>
      <w:r w:rsidR="00DE7663" w:rsidRPr="005F364C">
        <w:rPr>
          <w:rFonts w:ascii="Verdana" w:eastAsia="Times New Roman" w:hAnsi="Verdana" w:cs="Arial"/>
          <w:sz w:val="22"/>
          <w:szCs w:val="22"/>
          <w:lang w:val="es-CO" w:eastAsia="es-ES_tradnl"/>
        </w:rPr>
        <w:t>Delegad</w:t>
      </w:r>
      <w:r w:rsidR="00581135" w:rsidRPr="005F364C">
        <w:rPr>
          <w:rFonts w:ascii="Verdana" w:eastAsia="Times New Roman" w:hAnsi="Verdana" w:cs="Arial"/>
          <w:sz w:val="22"/>
          <w:szCs w:val="22"/>
          <w:lang w:val="es-CO" w:eastAsia="es-ES_tradnl"/>
        </w:rPr>
        <w:t>a</w:t>
      </w:r>
      <w:proofErr w:type="gramEnd"/>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No_Id_NIT_O_CC</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w:t>
      </w:r>
      <w:proofErr w:type="gramStart"/>
      <w:r w:rsidR="00851153" w:rsidRPr="005F364C">
        <w:rPr>
          <w:rFonts w:ascii="Verdana" w:eastAsia="Arial" w:hAnsi="Verdana" w:cs="Arial"/>
          <w:bCs/>
          <w:sz w:val="22"/>
          <w:szCs w:val="22"/>
        </w:rPr>
        <w:t>Director</w:t>
      </w:r>
      <w:r w:rsidRPr="005F364C">
        <w:rPr>
          <w:rFonts w:ascii="Verdana" w:eastAsia="Arial" w:hAnsi="Verdana" w:cs="Arial"/>
          <w:bCs/>
          <w:sz w:val="22"/>
          <w:szCs w:val="22"/>
        </w:rPr>
        <w:t>a</w:t>
      </w:r>
      <w:proofErr w:type="gramEnd"/>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w:t>
      </w:r>
      <w:r w:rsidR="002073F5">
        <w:rPr>
          <w:rFonts w:ascii="Verdana" w:hAnsi="Verdana"/>
          <w:b/>
          <w:noProof/>
          <w:sz w:val="22"/>
          <w:szCs w:val="22"/>
          <w:highlight w:val="yellow"/>
        </w:rPr>
        <w:t>Investigada</w:t>
      </w:r>
      <w:r w:rsidR="00BB70F7">
        <w:rPr>
          <w:rFonts w:ascii="Verdana" w:hAnsi="Verdana"/>
          <w:b/>
          <w:noProof/>
          <w:sz w:val="22"/>
          <w:szCs w:val="22"/>
          <w:highlight w:val="yellow"/>
        </w:rPr>
        <w:t>}}</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w:t>
      </w:r>
      <w:r w:rsidR="002073F5">
        <w:rPr>
          <w:rFonts w:ascii="Verdana" w:hAnsi="Verdana" w:cs="Arial"/>
          <w:bCs/>
          <w:noProof/>
          <w:sz w:val="22"/>
          <w:szCs w:val="22"/>
          <w:highlight w:val="yellow"/>
          <w:lang w:val="es-CO" w:eastAsia="es-ES_tradnl"/>
        </w:rPr>
        <w:t>No_Id_NIT_O_CC</w:t>
      </w:r>
      <w:r w:rsidR="00BB70F7">
        <w:rPr>
          <w:rFonts w:ascii="Verdana" w:hAnsi="Verdana" w:cs="Arial"/>
          <w:bCs/>
          <w:noProof/>
          <w:sz w:val="22"/>
          <w:szCs w:val="22"/>
          <w:highlight w:val="yellow"/>
          <w:lang w:val="es-CO" w:eastAsia="es-ES_tradnl"/>
        </w:rPr>
        <w:t>}}</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w:t>
      </w:r>
      <w:r w:rsidR="002073F5">
        <w:rPr>
          <w:rFonts w:ascii="Verdana" w:hAnsi="Verdana" w:cs="Arial"/>
          <w:b/>
          <w:noProof/>
          <w:sz w:val="22"/>
          <w:szCs w:val="22"/>
          <w:highlight w:val="yellow"/>
        </w:rPr>
        <w:t>Nombre_del_representante_legal</w:t>
      </w:r>
      <w:r w:rsidR="00BB70F7">
        <w:rPr>
          <w:rFonts w:ascii="Verdana" w:hAnsi="Verdana" w:cs="Arial"/>
          <w:b/>
          <w:noProof/>
          <w:sz w:val="22"/>
          <w:szCs w:val="22"/>
          <w:highlight w:val="yellow"/>
        </w:rPr>
        <w:t>}}</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Dirección_investigada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w:t>
      </w:r>
      <w:r w:rsidR="002073F5">
        <w:rPr>
          <w:rFonts w:ascii="Verdana" w:hAnsi="Verdana" w:cs="Arial"/>
          <w:bCs/>
          <w:noProof/>
          <w:color w:val="000000"/>
          <w:sz w:val="22"/>
          <w:szCs w:val="22"/>
          <w:highlight w:val="yellow"/>
        </w:rPr>
        <w:t>Ciudad_de_la_investigada</w:t>
      </w:r>
      <w:r w:rsidR="00BB70F7">
        <w:rPr>
          <w:rFonts w:ascii="Verdana" w:hAnsi="Verdana" w:cs="Arial"/>
          <w:bCs/>
          <w:noProof/>
          <w:color w:val="000000"/>
          <w:sz w:val="22"/>
          <w:szCs w:val="22"/>
          <w:highlight w:val="yellow"/>
        </w:rPr>
        <w:t>}}</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w:t>
      </w:r>
      <w:r w:rsidR="002073F5">
        <w:rPr>
          <w:rFonts w:ascii="Verdana" w:hAnsi="Verdana" w:cs="Arial"/>
          <w:noProof/>
          <w:color w:val="000000"/>
          <w:sz w:val="22"/>
          <w:szCs w:val="22"/>
          <w:highlight w:val="yellow"/>
        </w:rPr>
        <w:t>Email_notifficación</w:t>
      </w:r>
      <w:r w:rsidR="00BB70F7">
        <w:rPr>
          <w:rFonts w:ascii="Verdana" w:hAnsi="Verdana" w:cs="Arial"/>
          <w:noProof/>
          <w:color w:val="000000"/>
          <w:sz w:val="22"/>
          <w:szCs w:val="22"/>
          <w:highlight w:val="yellow"/>
        </w:rPr>
        <w:t>}}</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Pr>
          <w:rFonts w:ascii="Verdana" w:hAnsi="Verdana" w:cs="Arial"/>
          <w:b/>
          <w:noProof/>
          <w:sz w:val="22"/>
          <w:szCs w:val="22"/>
        </w:rPr>
        <w:fldChar w:fldCharType="begin"/>
      </w:r>
      <w:r w:rsidR="00E34AA9">
        <w:rPr>
          <w:rFonts w:ascii="Verdana" w:hAnsi="Verdana" w:cs="Arial"/>
          <w:b/>
          <w:noProof/>
          <w:sz w:val="22"/>
          <w:szCs w:val="22"/>
        </w:rPr>
        <w:instrText xml:space="preserve"> MERGEFIELD Nombre_del_apoderado </w:instrText>
      </w:r>
      <w:r w:rsidR="00E34AA9">
        <w:rPr>
          <w:rFonts w:ascii="Verdana" w:hAnsi="Verdana" w:cs="Arial"/>
          <w:b/>
          <w:noProof/>
          <w:sz w:val="22"/>
          <w:szCs w:val="22"/>
        </w:rPr>
        <w:fldChar w:fldCharType="separate"/>
      </w:r>
      <w:r w:rsidR="00BB70F7">
        <w:rPr>
          <w:rFonts w:ascii="Verdana" w:hAnsi="Verdana" w:cs="Arial"/>
          <w:b/>
          <w:noProof/>
          <w:sz w:val="22"/>
          <w:szCs w:val="22"/>
        </w:rPr>
        <w:t>{{</w:t>
      </w:r>
      <w:r w:rsidR="002073F5">
        <w:rPr>
          <w:rFonts w:ascii="Verdana" w:hAnsi="Verdana" w:cs="Arial"/>
          <w:b/>
          <w:noProof/>
          <w:sz w:val="22"/>
          <w:szCs w:val="22"/>
        </w:rPr>
        <w:t>Nombre_del_apoderado</w:t>
      </w:r>
      <w:r w:rsidR="00E34AA9">
        <w:rPr>
          <w:rFonts w:ascii="Verdana" w:hAnsi="Verdana" w:cs="Arial"/>
          <w:b/>
          <w:noProof/>
          <w:sz w:val="22"/>
          <w:szCs w:val="22"/>
        </w:rPr>
        <w:fldChar w:fldCharType="end"/>
      </w:r>
      <w:r w:rsidR="00BB70F7">
        <w:rPr>
          <w:rFonts w:ascii="Verdana" w:hAnsi="Verdana" w:cs="Arial"/>
          <w:b/>
          <w:noProof/>
          <w:sz w:val="22"/>
          <w:szCs w:val="22"/>
        </w:rPr>
        <w:t>}}</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Cédula_de_ciudadanía_1 </w:instrText>
      </w:r>
      <w:r w:rsidR="00E34AA9">
        <w:rPr>
          <w:rFonts w:ascii="Verdana" w:hAnsi="Verdana" w:cs="Arial"/>
          <w:bCs/>
          <w:noProof/>
          <w:sz w:val="22"/>
          <w:szCs w:val="22"/>
        </w:rPr>
        <w:fldChar w:fldCharType="separate"/>
      </w:r>
      <w:r w:rsidR="00BB70F7">
        <w:rPr>
          <w:rFonts w:ascii="Verdana" w:hAnsi="Verdana" w:cs="Arial"/>
          <w:bCs/>
          <w:noProof/>
          <w:sz w:val="22"/>
          <w:szCs w:val="22"/>
        </w:rPr>
        <w:t>{{</w:t>
      </w:r>
      <w:r w:rsidR="002073F5">
        <w:rPr>
          <w:rFonts w:ascii="Verdana" w:hAnsi="Verdana" w:cs="Arial"/>
          <w:bCs/>
          <w:noProof/>
          <w:sz w:val="22"/>
          <w:szCs w:val="22"/>
        </w:rPr>
        <w:t>Cédula_de_ciudadanía_1</w:t>
      </w:r>
      <w:r w:rsidR="00BB70F7">
        <w:rPr>
          <w:rFonts w:ascii="Verdana" w:hAnsi="Verdana" w:cs="Arial"/>
          <w:bCs/>
          <w:noProof/>
          <w:sz w:val="22"/>
          <w:szCs w:val="22"/>
        </w:rPr>
        <w:t>}}</w:t>
      </w:r>
      <w:r w:rsidR="00E34AA9">
        <w:rPr>
          <w:rFonts w:ascii="Verdana" w:hAnsi="Verdana" w:cs="Arial"/>
          <w:bCs/>
          <w:noProof/>
          <w:sz w:val="22"/>
          <w:szCs w:val="22"/>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Dirección_de_notificación_judicial </w:instrText>
      </w:r>
      <w:r w:rsidR="00E34AA9">
        <w:rPr>
          <w:rFonts w:ascii="Verdana" w:hAnsi="Verdana" w:cs="Arial"/>
          <w:bCs/>
          <w:noProof/>
          <w:sz w:val="22"/>
          <w:szCs w:val="22"/>
        </w:rPr>
        <w:fldChar w:fldCharType="separate"/>
      </w:r>
      <w:r w:rsidR="00BB70F7">
        <w:rPr>
          <w:rFonts w:ascii="Verdana" w:hAnsi="Verdana" w:cs="Arial"/>
          <w:bCs/>
          <w:noProof/>
          <w:sz w:val="22"/>
          <w:szCs w:val="22"/>
        </w:rPr>
        <w:t>{{</w:t>
      </w:r>
      <w:r w:rsidR="002073F5">
        <w:rPr>
          <w:rFonts w:ascii="Verdana" w:hAnsi="Verdana" w:cs="Arial"/>
          <w:bCs/>
          <w:noProof/>
          <w:sz w:val="22"/>
          <w:szCs w:val="22"/>
        </w:rPr>
        <w:t>Dirección_de_notificación_judicial</w:t>
      </w:r>
      <w:r w:rsidR="00BB70F7">
        <w:rPr>
          <w:rFonts w:ascii="Verdana" w:hAnsi="Verdana" w:cs="Arial"/>
          <w:bCs/>
          <w:noProof/>
          <w:sz w:val="22"/>
          <w:szCs w:val="22"/>
        </w:rPr>
        <w:t>}}</w:t>
      </w:r>
      <w:r w:rsidR="00E34AA9">
        <w:rPr>
          <w:rFonts w:ascii="Verdana" w:hAnsi="Verdana" w:cs="Arial"/>
          <w:bCs/>
          <w:noProof/>
          <w:sz w:val="22"/>
          <w:szCs w:val="22"/>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Pr>
          <w:rFonts w:ascii="Verdana" w:hAnsi="Verdana" w:cs="Arial"/>
          <w:bCs/>
          <w:noProof/>
          <w:sz w:val="22"/>
          <w:szCs w:val="22"/>
        </w:rPr>
        <w:fldChar w:fldCharType="begin"/>
      </w:r>
      <w:r w:rsidR="00E34AA9">
        <w:rPr>
          <w:rFonts w:ascii="Verdana" w:hAnsi="Verdana" w:cs="Arial"/>
          <w:bCs/>
          <w:noProof/>
          <w:sz w:val="22"/>
          <w:szCs w:val="22"/>
        </w:rPr>
        <w:instrText xml:space="preserve"> MERGEFIELD Ciudad_ </w:instrText>
      </w:r>
      <w:r w:rsidR="00E34AA9">
        <w:rPr>
          <w:rFonts w:ascii="Verdana" w:hAnsi="Verdana" w:cs="Arial"/>
          <w:bCs/>
          <w:noProof/>
          <w:sz w:val="22"/>
          <w:szCs w:val="22"/>
        </w:rPr>
        <w:fldChar w:fldCharType="separate"/>
      </w:r>
      <w:r w:rsidR="00BB70F7">
        <w:rPr>
          <w:rFonts w:ascii="Verdana" w:hAnsi="Verdana" w:cs="Arial"/>
          <w:bCs/>
          <w:noProof/>
          <w:sz w:val="22"/>
          <w:szCs w:val="22"/>
        </w:rPr>
        <w:t>{{</w:t>
      </w:r>
      <w:r w:rsidR="002073F5">
        <w:rPr>
          <w:rFonts w:ascii="Verdana" w:hAnsi="Verdana" w:cs="Arial"/>
          <w:bCs/>
          <w:noProof/>
          <w:sz w:val="22"/>
          <w:szCs w:val="22"/>
        </w:rPr>
        <w:t>Ciudad_</w:t>
      </w:r>
      <w:r w:rsidR="00BB70F7">
        <w:rPr>
          <w:rFonts w:ascii="Verdana" w:hAnsi="Verdana" w:cs="Arial"/>
          <w:bCs/>
          <w:noProof/>
          <w:sz w:val="22"/>
          <w:szCs w:val="22"/>
        </w:rPr>
        <w:t>}}</w:t>
      </w:r>
      <w:r w:rsidR="00E34AA9">
        <w:rPr>
          <w:rFonts w:ascii="Verdana" w:hAnsi="Verdana" w:cs="Arial"/>
          <w:bCs/>
          <w:noProof/>
          <w:sz w:val="22"/>
          <w:szCs w:val="22"/>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fldChar w:fldCharType="begin"/>
      </w:r>
      <w:r w:rsidR="00E34AA9">
        <w:instrText xml:space="preserve"> MERGEFIELD Email_notifficación1 </w:instrText>
      </w:r>
      <w:r w:rsidR="00E34AA9">
        <w:fldChar w:fldCharType="separate"/>
      </w:r>
      <w:r w:rsidR="00BB70F7">
        <w:rPr>
          <w:noProof/>
        </w:rPr>
        <w:t>{{</w:t>
      </w:r>
      <w:r w:rsidR="002073F5">
        <w:rPr>
          <w:noProof/>
        </w:rPr>
        <w:t>Email_notifficación1</w:t>
      </w:r>
      <w:r w:rsidR="00BB70F7">
        <w:rPr>
          <w:noProof/>
        </w:rPr>
        <w:t>}}</w:t>
      </w:r>
      <w:r w:rsidR="00E34AA9">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FD64F" w14:textId="77777777" w:rsidR="00FF65ED" w:rsidRDefault="00FF65ED" w:rsidP="0046026F">
      <w:r>
        <w:separator/>
      </w:r>
    </w:p>
    <w:p w14:paraId="3C8D7309" w14:textId="77777777" w:rsidR="00FF65ED" w:rsidRDefault="00FF65ED"/>
    <w:p w14:paraId="1982EE0C" w14:textId="77777777" w:rsidR="00FF65ED" w:rsidRDefault="00FF65ED"/>
  </w:endnote>
  <w:endnote w:type="continuationSeparator" w:id="0">
    <w:p w14:paraId="5CED0076" w14:textId="77777777" w:rsidR="00FF65ED" w:rsidRDefault="00FF65ED" w:rsidP="0046026F">
      <w:r>
        <w:continuationSeparator/>
      </w:r>
    </w:p>
    <w:p w14:paraId="0B378D81" w14:textId="77777777" w:rsidR="00FF65ED" w:rsidRDefault="00FF65ED"/>
    <w:p w14:paraId="6D3C5125" w14:textId="77777777" w:rsidR="00FF65ED" w:rsidRDefault="00FF65ED"/>
  </w:endnote>
  <w:endnote w:type="continuationNotice" w:id="1">
    <w:p w14:paraId="6D535C2F" w14:textId="77777777" w:rsidR="00FF65ED" w:rsidRDefault="00FF65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panose1 w:val="020B0604020202020204"/>
    <w:charset w:val="01"/>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B0883" w14:textId="77777777" w:rsidR="00FF65ED" w:rsidRDefault="00FF65ED" w:rsidP="0046026F">
      <w:r>
        <w:separator/>
      </w:r>
    </w:p>
    <w:p w14:paraId="7E8251E4" w14:textId="77777777" w:rsidR="00FF65ED" w:rsidRDefault="00FF65ED"/>
    <w:p w14:paraId="688CA2E5" w14:textId="77777777" w:rsidR="00FF65ED" w:rsidRDefault="00FF65ED"/>
  </w:footnote>
  <w:footnote w:type="continuationSeparator" w:id="0">
    <w:p w14:paraId="1085FA6D" w14:textId="77777777" w:rsidR="00FF65ED" w:rsidRDefault="00FF65ED" w:rsidP="0046026F">
      <w:r>
        <w:continuationSeparator/>
      </w:r>
    </w:p>
    <w:p w14:paraId="7EE4E5B6" w14:textId="77777777" w:rsidR="00FF65ED" w:rsidRDefault="00FF65ED"/>
    <w:p w14:paraId="2E4D6736" w14:textId="77777777" w:rsidR="00FF65ED" w:rsidRDefault="00FF65ED"/>
  </w:footnote>
  <w:footnote w:type="continuationNotice" w:id="1">
    <w:p w14:paraId="64C9D7C3" w14:textId="77777777" w:rsidR="00FF65ED" w:rsidRDefault="00FF65ED"/>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Pie_de_página_1_fecha_de_notificación_d</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Radicado_expediente</w:t>
      </w:r>
      <w:r w:rsidR="009D1799">
        <w:rPr>
          <w:rFonts w:ascii="Times New Roman" w:hAnsi="Times New Roman"/>
          <w:noProof/>
          <w:sz w:val="18"/>
          <w:szCs w:val="18"/>
          <w:highlight w:val="yellow"/>
        </w:rPr>
        <w:t>}}</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Pie_de_página_3_radicado_de_la_certifi</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Pie_de_página_4_fecha_radicado_de_la_c</w:t>
      </w:r>
      <w:r w:rsidR="009D1799">
        <w:rPr>
          <w:rFonts w:ascii="Times New Roman" w:hAnsi="Times New Roman"/>
          <w:noProof/>
          <w:sz w:val="18"/>
          <w:szCs w:val="18"/>
          <w:highlight w:val="yellow"/>
        </w:rPr>
        <w:t>}}</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 xml:space="preserve">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sz w:val="18"/>
          <w:szCs w:val="18"/>
        </w:rPr>
        <w:t>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w:t>
      </w:r>
      <w:proofErr w:type="gramStart"/>
      <w:r w:rsidRPr="00F36BB6">
        <w:rPr>
          <w:rFonts w:ascii="Times New Roman" w:eastAsia="Arial" w:hAnsi="Times New Roman"/>
          <w:sz w:val="18"/>
          <w:szCs w:val="18"/>
        </w:rPr>
        <w:t>Consejero</w:t>
      </w:r>
      <w:proofErr w:type="gramEnd"/>
      <w:r w:rsidRPr="00F36BB6">
        <w:rPr>
          <w:rFonts w:ascii="Times New Roman" w:eastAsia="Arial" w:hAnsi="Times New Roman"/>
          <w:sz w:val="18"/>
          <w:szCs w:val="18"/>
        </w:rPr>
        <w:t xml:space="preserve">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Pie_de_página_1_Resolución_de_la_decisi</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w:t>
      </w:r>
      <w:r w:rsidR="002073F5">
        <w:rPr>
          <w:rFonts w:ascii="Times New Roman" w:hAnsi="Times New Roman"/>
          <w:noProof/>
          <w:sz w:val="18"/>
          <w:szCs w:val="18"/>
          <w:highlight w:val="yellow"/>
        </w:rPr>
        <w:t>Pie_de_página_2_Número_de_página</w:t>
      </w:r>
      <w:r w:rsidR="009D1799">
        <w:rPr>
          <w:rFonts w:ascii="Times New Roman" w:hAnsi="Times New Roman"/>
          <w:noProof/>
          <w:sz w:val="18"/>
          <w:szCs w:val="18"/>
          <w:highlight w:val="yellow"/>
        </w:rPr>
        <w:t>}}</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BE0BA" w14:textId="77777777" w:rsidR="00385B12" w:rsidRDefault="00FF65ED"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FF65ED"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FF65ED">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3EECD" w14:textId="77777777" w:rsidR="005F364C" w:rsidRDefault="00FF65ED"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sidRPr="00FF65ED">
      <w:rPr>
        <w:noProof/>
        <w:lang w:val="es-CO" w:eastAsia="es-CO"/>
      </w:rPr>
      <w:pict w14:anchorId="7B25BCFA">
        <v:shape id="Imagen 1488599976" o:spid="_x0000_i1025" type="#_x0000_t75" alt="" style="width:105.85pt;height:62.95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2771180">
    <w:abstractNumId w:val="0"/>
  </w:num>
  <w:num w:numId="2" w16cid:durableId="709106435">
    <w:abstractNumId w:val="2"/>
  </w:num>
  <w:num w:numId="3" w16cid:durableId="13935810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132535">
    <w:abstractNumId w:val="8"/>
  </w:num>
  <w:num w:numId="5" w16cid:durableId="765348013">
    <w:abstractNumId w:val="3"/>
  </w:num>
  <w:num w:numId="6" w16cid:durableId="34161986">
    <w:abstractNumId w:val="6"/>
  </w:num>
  <w:num w:numId="7" w16cid:durableId="1673336486">
    <w:abstractNumId w:val="4"/>
  </w:num>
  <w:num w:numId="8" w16cid:durableId="384717455">
    <w:abstractNumId w:val="9"/>
  </w:num>
  <w:num w:numId="9" w16cid:durableId="566574992">
    <w:abstractNumId w:val="5"/>
  </w:num>
  <w:num w:numId="10" w16cid:durableId="1908883688">
    <w:abstractNumId w:val="7"/>
  </w:num>
  <w:num w:numId="11" w16cid:durableId="1986422586">
    <w:abstractNumId w:val="11"/>
  </w:num>
  <w:num w:numId="12" w16cid:durableId="115973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82732"/>
    <w:rsid w:val="00B858CC"/>
    <w:rsid w:val="00B92174"/>
    <w:rsid w:val="00B9265B"/>
    <w:rsid w:val="00B95CA6"/>
    <w:rsid w:val="00B96CC0"/>
    <w:rsid w:val="00BA0A4C"/>
    <w:rsid w:val="00BA3A9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lang w:eastAsia="es-CO"/>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6986</Words>
  <Characters>38424</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ms092037</cp:lastModifiedBy>
  <cp:revision>3</cp:revision>
  <dcterms:created xsi:type="dcterms:W3CDTF">2024-09-01T17:09:00Z</dcterms:created>
  <dcterms:modified xsi:type="dcterms:W3CDTF">2024-09-01T18:37:00Z</dcterms:modified>
</cp:coreProperties>
</file>