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ChemAI v0.7.1 Machine Learning Foundations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Objective</w:t>
      </w:r>
    </w:p>
    <w:p>
      <w:r>
        <w:t>Transition ChemAI from rule-based spectroscopy toward machine learning driven representations of molecular structure.</w:t>
      </w:r>
    </w:p>
    <w:p>
      <w:pPr>
        <w:pStyle w:val="Heading1"/>
      </w:pPr>
      <w:r>
        <w:t>Achievements</w:t>
      </w:r>
    </w:p>
    <w:p>
      <w:r>
        <w:t>Created atom-level feature engineering pipeline, generated atom feature matrix, analyzed atomic environments using PCA and identified chemically meaningful clusters.</w:t>
      </w:r>
    </w:p>
    <w:p>
      <w:pPr>
        <w:pStyle w:val="Heading1"/>
      </w:pPr>
      <w:r>
        <w:t>Feature Engineering</w:t>
      </w:r>
    </w:p>
    <w:p>
      <w:r>
        <w:t>Features include topology, hybridization, ring membership, ring size, neighboring atoms, aromatic neighbors and bond types.</w:t>
      </w:r>
    </w:p>
    <w:p>
      <w:pPr>
        <w:pStyle w:val="Heading1"/>
      </w:pPr>
      <w:r>
        <w:t>Atom Feature Matrix</w:t>
      </w:r>
    </w:p>
    <w:p>
      <w:r>
        <w:t>312 atomic environments represented by 20 columns were extracted from 20 pharmaceutical compounds.</w:t>
      </w:r>
    </w:p>
    <w:p>
      <w:pPr>
        <w:pStyle w:val="Heading1"/>
      </w:pPr>
      <w:r>
        <w:t>PCA Analysis</w:t>
      </w:r>
    </w:p>
    <w:p>
      <w:r>
        <w:t>Principal Component Analysis was used to project atom environments into a two-dimensional space and explore structural patterns.</w:t>
      </w:r>
    </w:p>
    <w:p>
      <w:pPr>
        <w:pStyle w:val="Heading1"/>
      </w:pPr>
      <w:r>
        <w:t>Key Insight</w:t>
      </w:r>
    </w:p>
    <w:p>
      <w:r>
        <w:t>Current feature vectors capture molecular topology and local environments. Future work should focus on electronic features such as Gasteiger charges.</w:t>
      </w:r>
    </w:p>
    <w:p>
      <w:pPr>
        <w:pStyle w:val="Heading1"/>
      </w:pPr>
      <w:r>
        <w:t>Next Steps</w:t>
      </w:r>
    </w:p>
    <w:p>
      <w:r>
        <w:t>Add electronic descriptors, evaluate Gasteiger charges, investigate clustering, and prepare datasets for learning spectroscopic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2026-09-10T11:07:56.6657523Z</dcterms:created>
  <dcterms:modified xsi:type="dcterms:W3CDTF">2026-09-10T11:07:56.6657523Z</dcterms:modified>
  <category/>
</coreProperties>
</file>