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ChemAI v0.5 Molecular Descriptor Analysis</w:t>
      </w:r>
    </w:p>
    <w:p>
      <w:r>
        <w:t>Status: Completed</w:t>
      </w:r>
    </w:p>
    <w:p>
      <w:r>
        <w:t>Dataset Size: 20 curated compounds across analgesics, antiepileptics, and anesthetics.</w:t>
      </w:r>
    </w:p>
    <w:p>
      <w:pPr>
        <w:pStyle w:val="Heading1"/>
      </w:pPr>
      <w:r>
        <w:t>Objectives</w:t>
      </w:r>
    </w:p>
    <w:p>
      <w:r>
        <w:t>Generate RDKit molecular descriptors from the curated ChemAI dataset and perform exploratory descriptor analysis.</w:t>
      </w:r>
    </w:p>
    <w:p>
      <w:pPr>
        <w:pStyle w:val="Heading1"/>
      </w:pPr>
      <w:r>
        <w:t>Implemented Features</w:t>
      </w:r>
    </w:p>
    <w:p>
      <w:r>
        <w:t>RDKit descriptor calculation, descriptor DataFrame generation, CSV export, class-based statistics, correlation analysis and outlier analysis.</w:t>
      </w:r>
    </w:p>
    <w:p>
      <w:pPr>
        <w:pStyle w:val="Heading1"/>
      </w:pPr>
      <w:r>
        <w:t>Descriptors</w:t>
      </w:r>
    </w:p>
    <w:p>
      <w:r>
        <w:t>MolWt, LogP, TPSA, HDonors, HAcceptors, Rotatable Bonds, Ring Count, Heavy Atoms, Hetero Atoms, Valence Electrons and FractionCSP3.</w:t>
      </w:r>
    </w:p>
    <w:p>
      <w:pPr>
        <w:pStyle w:val="Heading1"/>
      </w:pPr>
      <w:r>
        <w:t>Key Findings</w:t>
      </w:r>
    </w:p>
    <w:p>
      <w:r>
        <w:t>Anesthetics showed the highest average lipophilicity (LogP), antiepileptics the highest average TPSA and FractionCSP3, while analgesics were generally more aromatic.</w:t>
      </w:r>
    </w:p>
    <w:p>
      <w:pPr>
        <w:pStyle w:val="Heading1"/>
      </w:pPr>
      <w:r>
        <w:t>Stereochemistry</w:t>
      </w:r>
    </w:p>
    <w:p>
      <w:r>
        <w:t>Ibuprofen, Naproxen and Etomidate stereoisomers produced identical 2D RDKit descriptors, demonstrating the limitations of classical 2D descriptor approaches.</w:t>
      </w:r>
    </w:p>
    <w:p>
      <w:pPr>
        <w:pStyle w:val="Heading1"/>
      </w:pPr>
      <w:r>
        <w:t>Correlation Analysis</w:t>
      </w:r>
    </w:p>
    <w:p>
      <w:r>
        <w:t>Strong positive correlation between molecular weight and ring count (0.75). Strong negative correlation between TPSA and LogP (-0.62). FractionCSP3 negatively correlated with ring count (-0.64).</w:t>
      </w:r>
    </w:p>
    <w:p>
      <w:pPr>
        <w:pStyle w:val="Heading1"/>
      </w:pPr>
      <w:r>
        <w:t>Outlier Analysis</w:t>
      </w:r>
    </w:p>
    <w:p>
      <w:r>
        <w:t>Diclofenac showed the highest LogP. Lamotrigine showed the highest TPSA. Gabapentin and Pregabalin showed the highest FractionCSP3 values.</w:t>
      </w:r>
    </w:p>
    <w:p>
      <w:pPr>
        <w:pStyle w:val="Heading1"/>
      </w:pPr>
      <w:r>
        <w:t>Conclusions</w:t>
      </w:r>
    </w:p>
    <w:p>
      <w:r>
        <w:t>ChemAI successfully transformed molecular structures into a machine-learning-ready descriptor dataset and completed Phase 2 descriptor analysis objectives.</w:t>
      </w:r>
    </w:p>
    <w:p>
      <w:pPr>
        <w:pStyle w:val="Heading1"/>
      </w:pPr>
      <w:r>
        <w:t>Next Steps</w:t>
      </w:r>
    </w:p>
    <w:p>
      <w:r>
        <w:t>Phase 3: Random Forest baseline models, neural networks and machine learning experiments. Future spectroscopy work (IR, UV/Vis, NMR) planned for later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2026-09-08T07:48:52.0825163Z</dcterms:created>
  <dcterms:modified xsi:type="dcterms:W3CDTF">2026-09-08T07:48:52.0825163Z</dcterms:modified>
  <category/>
</coreProperties>
</file>