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ChemAI v0.6 Spectroscopy Foundations</w:t>
      </w:r>
    </w:p>
    <w:p>
      <w:r>
        <w:rPr>
          <w:b/>
        </w:rPr>
        <w:t xml:space="preserve">Status: </w:t>
      </w:r>
      <w:r>
        <w:t>Completed</w:t>
      </w:r>
    </w:p>
    <w:p>
      <w:pPr>
        <w:pStyle w:val="Heading1"/>
      </w:pPr>
      <w:r>
        <w:t>Objectives</w:t>
      </w:r>
    </w:p>
    <w:p>
      <w:r>
        <w:t>Extend ChemAI beyond molecular descriptors into spectroscopy by identifying functional groups, assigning expected IR bands and generating pseudo IR spectra.</w:t>
      </w:r>
    </w:p>
    <w:p>
      <w:pPr>
        <w:pStyle w:val="Heading1"/>
      </w:pPr>
      <w:r>
        <w:t>Implemented Components</w:t>
      </w:r>
    </w:p>
    <w:p>
      <w:r>
        <w:t>SMARTS-based functional group detection, IR group library, intensity model, peak shape model and pseudo IR spectrum generation using matplotlib.</w:t>
      </w:r>
    </w:p>
    <w:p>
      <w:pPr>
        <w:pStyle w:val="Heading1"/>
      </w:pPr>
      <w:r>
        <w:t>Detected Functional Groups</w:t>
      </w:r>
    </w:p>
    <w:p>
      <w:r>
        <w:t>Aromatic Ring, Alcohol, Phenol, Carboxylic Acid, Amide, Amine, Ester, Ketone, Ether and Aliphatic Ether.</w:t>
      </w:r>
    </w:p>
    <w:p>
      <w:pPr>
        <w:pStyle w:val="Heading1"/>
      </w:pPr>
      <w:r>
        <w:t>SMARTS Validation</w:t>
      </w:r>
    </w:p>
    <w:p>
      <w:r>
        <w:t>Functional groups were validated against representative compounds including Paracetamol, Aspirin, Gabapentin, Ketamine, Naproxen, Ibuprofen and Etomidate. The ketone SMARTS pattern was refined through iterative testing to eliminate false positives.</w:t>
      </w:r>
    </w:p>
    <w:p>
      <w:pPr>
        <w:pStyle w:val="Heading1"/>
      </w:pPr>
      <w:r>
        <w:t>IR Assignment Model</w:t>
      </w:r>
    </w:p>
    <w:p>
      <w:r>
        <w:t>Each IR band contains four attributes: band assignment, wavenumber range, intensity (weak, medium, strong) and shape (sharp, broad, very broad).</w:t>
      </w:r>
    </w:p>
    <w:p>
      <w:pPr>
        <w:pStyle w:val="Heading1"/>
      </w:pPr>
      <w:r>
        <w:t>Pseudo IR Spectrum</w:t>
      </w:r>
    </w:p>
    <w:p>
      <w:r>
        <w:t>IR peaks are generated from Gaussian functions. Band position is derived from the midpoint of the assigned wavenumber range. Intensity controls peak depth and shape controls peak width. The spectrum is displayed as percent transmittance (0-100%).</w:t>
      </w:r>
    </w:p>
    <w:p>
      <w:pPr>
        <w:pStyle w:val="Heading1"/>
      </w:pPr>
      <w:r>
        <w:t>Case Study: Paracetamol</w:t>
      </w:r>
    </w:p>
    <w:p>
      <w:r>
        <w:t>The generated spectrum reproduces key expected features including broad O-H and N-H stretching bands, a strong amide carbonyl band and characteristic aromatic ring vibrations.</w:t>
      </w:r>
    </w:p>
    <w:p>
      <w:pPr>
        <w:pStyle w:val="Heading1"/>
      </w:pPr>
      <w:r>
        <w:t>Key Achievement</w:t>
      </w:r>
    </w:p>
    <w:p>
      <w:r>
        <w:t>ChemAI can now transform a SMILES string into identified functional groups, expected IR bands and a visual pseudo IR spectrum.</w:t>
      </w:r>
    </w:p>
    <w:p>
      <w:pPr>
        <w:pStyle w:val="Heading1"/>
      </w:pPr>
      <w:r>
        <w:t>Next Steps</w:t>
      </w:r>
    </w:p>
    <w:p>
      <w:r>
        <w:t>Possible future directions include improved ether recognition, fingerprint-region annotations, automated peak assignment tables and NMR Foundations (v0.7).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2026-09-08T19:27:25.1297594Z</dcterms:created>
  <dcterms:modified xsi:type="dcterms:W3CDTF">2026-09-08T19:27:25.1297594Z</dcterms:modified>
  <category/>
</coreProperties>
</file>