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ChemAI v0.8.4.1</w:t>
        <w:br/>
        <w:t>Electronic Environment Analysis</w:t>
      </w:r>
    </w:p>
    <w:p>
      <w:pPr>
        <w:pStyle w:val="Heading1"/>
      </w:pPr>
      <w:r>
        <w:t>Overview</w:t>
      </w:r>
    </w:p>
    <w:p>
      <w:r>
        <w:t>This milestone extends ChemAI beyond molecular descriptors and QSAR foundations towards the analysis of local electronic environments. The focus is on electronic polarization and charge distribution rather than molecular similarity or classification.</w:t>
      </w:r>
    </w:p>
    <w:p>
      <w:pPr>
        <w:pStyle w:val="Heading1"/>
      </w:pPr>
      <w:r>
        <w:t>New Electronic Descriptors</w:t>
      </w:r>
    </w:p>
    <w:p>
      <w:pPr>
        <w:pStyle w:val="ListBullet"/>
      </w:pPr>
      <w:r>
        <w:t>charge_spread = max_neighbor_charge - min_neighbor_charge</w:t>
      </w:r>
    </w:p>
    <w:p>
      <w:pPr>
        <w:pStyle w:val="ListBullet"/>
      </w:pPr>
      <w:r>
        <w:t>charge_asymmetry = |gasteiger_charge - mean_neighbor_charge|</w:t>
      </w:r>
    </w:p>
    <w:p>
      <w:pPr>
        <w:pStyle w:val="Heading1"/>
      </w:pPr>
      <w:r>
        <w:t>Key Findings</w:t>
      </w:r>
    </w:p>
    <w:p>
      <w:r>
        <w:t>charge_spread highlights strongly polarized atomic environments, especially carbon atoms positioned between electronically different neighbors.</w:t>
      </w:r>
    </w:p>
    <w:p>
      <w:r>
        <w:t>charge_asymmetry highlights atoms that differ strongly from their local electronic environment.</w:t>
      </w:r>
    </w:p>
    <w:p>
      <w:r>
        <w:t>Oxygen atoms show the highest average charge asymmetry, indicating highly differentiated electronic environments.</w:t>
      </w:r>
    </w:p>
    <w:p>
      <w:r>
        <w:t>Carbonyl and carboxyl oxygen atoms dominate the most asymmetric environments detected by ChemAI.</w:t>
      </w:r>
    </w:p>
    <w:p>
      <w:pPr>
        <w:pStyle w:val="Heading1"/>
      </w:pPr>
      <w:r>
        <w:t>Dataset</w:t>
      </w:r>
    </w:p>
    <w:p>
      <w:r>
        <w:t>Atoms analysed: 890</w:t>
      </w:r>
    </w:p>
    <w:p>
      <w:r>
        <w:t>Electronic descriptors: Gasteiger charge, mean neighbor charge, max neighbor charge, min neighbor charge, charge_spread, charge_asymmetry</w:t>
      </w:r>
    </w:p>
    <w:p>
      <w:pPr>
        <w:pStyle w:val="Heading1"/>
      </w:pPr>
      <w:r>
        <w:t>Scientific Relevance</w:t>
      </w:r>
    </w:p>
    <w:p>
      <w:r>
        <w:t>The long-term objective is to connect local electronic environments with spectroscopic observables. Electronic asymmetry and polarization may provide features relevant for shielding, chemical shifts, and future NMR prediction workflows.</w:t>
      </w:r>
    </w:p>
    <w:p>
      <w:pPr>
        <w:pStyle w:val="Heading1"/>
      </w:pPr>
      <w:r>
        <w:t>Next Steps</w:t>
      </w:r>
    </w:p>
    <w:p>
      <w:r>
        <w:t>v0.8.5 Dataset Expansion</w:t>
      </w:r>
    </w:p>
    <w:p>
      <w:r>
        <w:t>v0.8.5.1 Loader Hardening and CAS-based duplicate detection</w:t>
      </w:r>
    </w:p>
    <w:p>
      <w:r>
        <w:t>Dipole Proxy Analysis</w:t>
      </w:r>
    </w:p>
    <w:p>
      <w:r>
        <w:t>Electronic Environment Clustering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2026-09-17T16:09:15.9544100Z</dcterms:created>
  <dcterms:modified xsi:type="dcterms:W3CDTF">2026-09-17T16:09:15.9544100Z</dcterms:modified>
  <category/>
</coreProperties>
</file>