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10031" w:type="dxa"/>
        <w:tblLayout w:type="fixed"/>
        <w:tblLook w:val="0000" w:firstRow="0" w:lastRow="0" w:firstColumn="0" w:lastColumn="0" w:noHBand="0" w:noVBand="0"/>
      </w:tblPr>
      <w:tblGrid>
        <w:gridCol w:w="6580"/>
        <w:gridCol w:w="3451"/>
      </w:tblGrid>
      <w:tr w:rsidR="00184287" w:rsidRPr="00184287" w:rsidTr="00762B81">
        <w:trPr>
          <w:cantSplit/>
        </w:trPr>
        <w:tc>
          <w:tcPr>
            <w:tcW w:w="6580" w:type="dxa"/>
            <w:vAlign w:val="center"/>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
                <w:bCs/>
                <w:lang w:val="en-GB"/>
              </w:rPr>
            </w:pPr>
            <w:r w:rsidRPr="00184287">
              <w:rPr>
                <w:b/>
                <w:bCs/>
                <w:lang w:val="en-GB"/>
              </w:rPr>
              <w:t>Radiocommunication Study Groups</w:t>
            </w:r>
          </w:p>
        </w:tc>
        <w:tc>
          <w:tcPr>
            <w:tcW w:w="3451" w:type="dxa"/>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bookmarkStart w:id="0" w:name="ditulogo"/>
            <w:bookmarkEnd w:id="0"/>
            <w:r w:rsidRPr="00184287">
              <w:rPr>
                <w:noProof/>
                <w:lang w:val="en-GB" w:eastAsia="en-GB"/>
              </w:rPr>
              <w:drawing>
                <wp:inline distT="0" distB="0" distL="0" distR="0" wp14:anchorId="3DC703AB" wp14:editId="16E49C5A">
                  <wp:extent cx="1759585" cy="74803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759585" cy="748030"/>
                          </a:xfrm>
                          <a:prstGeom prst="rect">
                            <a:avLst/>
                          </a:prstGeom>
                          <a:noFill/>
                          <a:ln w="9525">
                            <a:noFill/>
                            <a:miter lim="800000"/>
                            <a:headEnd/>
                            <a:tailEnd/>
                          </a:ln>
                        </pic:spPr>
                      </pic:pic>
                    </a:graphicData>
                  </a:graphic>
                </wp:inline>
              </w:drawing>
            </w:r>
          </w:p>
        </w:tc>
      </w:tr>
      <w:tr w:rsidR="00184287" w:rsidRPr="00184287" w:rsidTr="00762B81">
        <w:trPr>
          <w:cantSplit/>
        </w:trPr>
        <w:tc>
          <w:tcPr>
            <w:tcW w:w="6580" w:type="dxa"/>
            <w:tcBorders>
              <w:bottom w:val="single" w:sz="12" w:space="0" w:color="auto"/>
            </w:tcBorders>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
                <w:lang w:val="en-GB"/>
              </w:rPr>
            </w:pPr>
          </w:p>
        </w:tc>
        <w:tc>
          <w:tcPr>
            <w:tcW w:w="3451" w:type="dxa"/>
            <w:tcBorders>
              <w:bottom w:val="single" w:sz="12" w:space="0" w:color="auto"/>
            </w:tcBorders>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US"/>
              </w:rPr>
            </w:pPr>
          </w:p>
        </w:tc>
      </w:tr>
      <w:tr w:rsidR="00184287" w:rsidRPr="00184287" w:rsidTr="00762B81">
        <w:trPr>
          <w:cantSplit/>
        </w:trPr>
        <w:tc>
          <w:tcPr>
            <w:tcW w:w="6580" w:type="dxa"/>
            <w:tcBorders>
              <w:top w:val="single" w:sz="12" w:space="0" w:color="auto"/>
            </w:tcBorders>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Cs/>
                <w:lang w:val="en-GB"/>
              </w:rPr>
            </w:pPr>
          </w:p>
        </w:tc>
        <w:tc>
          <w:tcPr>
            <w:tcW w:w="3451" w:type="dxa"/>
            <w:tcBorders>
              <w:top w:val="single" w:sz="12" w:space="0" w:color="auto"/>
            </w:tcBorders>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US"/>
              </w:rPr>
            </w:pPr>
          </w:p>
        </w:tc>
      </w:tr>
      <w:tr w:rsidR="00184287" w:rsidRPr="00184287" w:rsidTr="00762B81">
        <w:trPr>
          <w:cantSplit/>
        </w:trPr>
        <w:tc>
          <w:tcPr>
            <w:tcW w:w="6580" w:type="dxa"/>
            <w:vMerge w:val="restart"/>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bookmarkStart w:id="1" w:name="recibido"/>
            <w:bookmarkStart w:id="2" w:name="dnum" w:colFirst="1" w:colLast="1"/>
            <w:bookmarkEnd w:id="1"/>
            <w:r w:rsidRPr="00184287">
              <w:rPr>
                <w:lang w:val="en-GB"/>
              </w:rPr>
              <w:t xml:space="preserve">Source: </w:t>
            </w:r>
            <w:r w:rsidR="00B001E0">
              <w:rPr>
                <w:lang w:val="en-GB"/>
              </w:rPr>
              <w:t>5GIF</w:t>
            </w:r>
          </w:p>
        </w:tc>
        <w:tc>
          <w:tcPr>
            <w:tcW w:w="3451" w:type="dxa"/>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r w:rsidRPr="00184287">
              <w:rPr>
                <w:b/>
                <w:lang w:val="en-GB"/>
              </w:rPr>
              <w:t xml:space="preserve">Document </w:t>
            </w:r>
            <w:r w:rsidR="00EE69F6">
              <w:rPr>
                <w:b/>
                <w:lang w:val="en-GB"/>
              </w:rPr>
              <w:t>5D/xxx</w:t>
            </w:r>
          </w:p>
        </w:tc>
      </w:tr>
      <w:tr w:rsidR="00184287" w:rsidRPr="00184287" w:rsidTr="00762B81">
        <w:trPr>
          <w:cantSplit/>
        </w:trPr>
        <w:tc>
          <w:tcPr>
            <w:tcW w:w="6580" w:type="dxa"/>
            <w:vMerge/>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
                <w:lang w:val="en-GB"/>
              </w:rPr>
            </w:pPr>
            <w:bookmarkStart w:id="3" w:name="ddate" w:colFirst="1" w:colLast="1"/>
            <w:bookmarkEnd w:id="2"/>
          </w:p>
        </w:tc>
        <w:tc>
          <w:tcPr>
            <w:tcW w:w="3451" w:type="dxa"/>
          </w:tcPr>
          <w:p w:rsidR="00184287" w:rsidRPr="00184287" w:rsidRDefault="00173E1D"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r>
              <w:rPr>
                <w:b/>
                <w:lang w:val="en-GB"/>
              </w:rPr>
              <w:t>02</w:t>
            </w:r>
            <w:r w:rsidRPr="00184287">
              <w:rPr>
                <w:b/>
                <w:lang w:val="en-GB"/>
              </w:rPr>
              <w:t xml:space="preserve"> </w:t>
            </w:r>
            <w:r w:rsidR="00B001E0">
              <w:rPr>
                <w:b/>
                <w:lang w:val="en-GB"/>
              </w:rPr>
              <w:t>July</w:t>
            </w:r>
            <w:r w:rsidR="00184287" w:rsidRPr="00184287">
              <w:rPr>
                <w:b/>
                <w:lang w:val="en-GB"/>
              </w:rPr>
              <w:t xml:space="preserve"> 201</w:t>
            </w:r>
            <w:r w:rsidR="00B001E0">
              <w:rPr>
                <w:b/>
                <w:lang w:val="en-GB"/>
              </w:rPr>
              <w:t>9</w:t>
            </w:r>
          </w:p>
        </w:tc>
      </w:tr>
      <w:tr w:rsidR="00184287" w:rsidRPr="00184287" w:rsidTr="00762B81">
        <w:trPr>
          <w:cantSplit/>
        </w:trPr>
        <w:tc>
          <w:tcPr>
            <w:tcW w:w="6580" w:type="dxa"/>
            <w:vMerge/>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
                <w:lang w:val="en-GB"/>
              </w:rPr>
            </w:pPr>
            <w:bookmarkStart w:id="4" w:name="dorlang" w:colFirst="1" w:colLast="1"/>
            <w:bookmarkEnd w:id="3"/>
          </w:p>
        </w:tc>
        <w:tc>
          <w:tcPr>
            <w:tcW w:w="3451" w:type="dxa"/>
          </w:tcPr>
          <w:p w:rsid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
                <w:lang w:val="en-GB"/>
              </w:rPr>
            </w:pPr>
            <w:r w:rsidRPr="00184287">
              <w:rPr>
                <w:b/>
                <w:lang w:val="en-GB"/>
              </w:rPr>
              <w:t>English only</w:t>
            </w:r>
          </w:p>
          <w:p w:rsidR="008F0409" w:rsidRPr="00184287" w:rsidRDefault="008F0409"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p>
        </w:tc>
      </w:tr>
      <w:tr w:rsidR="00184287" w:rsidRPr="00184287" w:rsidTr="00762B81">
        <w:trPr>
          <w:cantSplit/>
        </w:trPr>
        <w:tc>
          <w:tcPr>
            <w:tcW w:w="10031" w:type="dxa"/>
            <w:gridSpan w:val="2"/>
          </w:tcPr>
          <w:p w:rsidR="00184287" w:rsidRPr="00184287" w:rsidRDefault="00A86B0B" w:rsidP="008F0409">
            <w:pPr>
              <w:tabs>
                <w:tab w:val="clear" w:pos="794"/>
                <w:tab w:val="clear" w:pos="1191"/>
                <w:tab w:val="clear" w:pos="1588"/>
                <w:tab w:val="clear" w:pos="1985"/>
              </w:tabs>
              <w:overflowPunct/>
              <w:autoSpaceDE/>
              <w:autoSpaceDN/>
              <w:adjustRightInd/>
              <w:spacing w:before="0" w:after="160" w:line="259" w:lineRule="auto"/>
              <w:jc w:val="center"/>
              <w:textAlignment w:val="auto"/>
              <w:rPr>
                <w:b/>
                <w:lang w:val="en-GB"/>
              </w:rPr>
            </w:pPr>
            <w:bookmarkStart w:id="5" w:name="dsource" w:colFirst="0" w:colLast="0"/>
            <w:bookmarkEnd w:id="4"/>
            <w:r>
              <w:rPr>
                <w:b/>
                <w:lang w:val="en-GB"/>
              </w:rPr>
              <w:t>5G India Forum</w:t>
            </w:r>
            <w:r w:rsidR="00184287" w:rsidRPr="00184287">
              <w:rPr>
                <w:b/>
                <w:lang w:val="en-GB"/>
              </w:rPr>
              <w:t xml:space="preserve"> Evaluation Group (</w:t>
            </w:r>
            <w:r>
              <w:rPr>
                <w:b/>
                <w:lang w:val="en-GB"/>
              </w:rPr>
              <w:t>5GIF</w:t>
            </w:r>
            <w:r w:rsidR="00184287" w:rsidRPr="00184287">
              <w:rPr>
                <w:b/>
                <w:lang w:val="en-GB"/>
              </w:rPr>
              <w:t>)</w:t>
            </w:r>
          </w:p>
        </w:tc>
      </w:tr>
      <w:tr w:rsidR="00184287" w:rsidRPr="00184287" w:rsidTr="00762B81">
        <w:trPr>
          <w:cantSplit/>
        </w:trPr>
        <w:tc>
          <w:tcPr>
            <w:tcW w:w="10031" w:type="dxa"/>
            <w:gridSpan w:val="2"/>
          </w:tcPr>
          <w:p w:rsidR="00184287" w:rsidRPr="00184287" w:rsidRDefault="00BC319B" w:rsidP="008F0409">
            <w:pPr>
              <w:tabs>
                <w:tab w:val="clear" w:pos="794"/>
                <w:tab w:val="clear" w:pos="1191"/>
                <w:tab w:val="clear" w:pos="1588"/>
                <w:tab w:val="clear" w:pos="1985"/>
              </w:tabs>
              <w:overflowPunct/>
              <w:autoSpaceDE/>
              <w:autoSpaceDN/>
              <w:adjustRightInd/>
              <w:spacing w:before="0" w:after="160" w:line="259" w:lineRule="auto"/>
              <w:jc w:val="center"/>
              <w:textAlignment w:val="auto"/>
              <w:rPr>
                <w:lang w:val="en-GB"/>
              </w:rPr>
            </w:pPr>
            <w:bookmarkStart w:id="6" w:name="drec" w:colFirst="0" w:colLast="0"/>
            <w:bookmarkEnd w:id="5"/>
            <w:r>
              <w:rPr>
                <w:lang w:val="en-GB"/>
              </w:rPr>
              <w:t>Partial E</w:t>
            </w:r>
            <w:r w:rsidR="00184287" w:rsidRPr="00184287">
              <w:rPr>
                <w:lang w:val="en-GB"/>
              </w:rPr>
              <w:t xml:space="preserve">valuation Report from </w:t>
            </w:r>
            <w:r w:rsidR="00EF4B17">
              <w:rPr>
                <w:lang w:val="en-GB"/>
              </w:rPr>
              <w:t xml:space="preserve">5GIF </w:t>
            </w:r>
            <w:r w:rsidR="00184287" w:rsidRPr="00184287">
              <w:rPr>
                <w:lang w:val="en-GB"/>
              </w:rPr>
              <w:t xml:space="preserve">on the </w:t>
            </w:r>
            <w:r w:rsidR="00EF4B17">
              <w:rPr>
                <w:lang w:val="en-GB"/>
              </w:rPr>
              <w:t xml:space="preserve">3GPP NR candidate proposal on </w:t>
            </w:r>
            <w:r w:rsidR="00184287" w:rsidRPr="00184287">
              <w:rPr>
                <w:lang w:val="en-GB"/>
              </w:rPr>
              <w:t>IMT-2020</w:t>
            </w:r>
          </w:p>
        </w:tc>
      </w:tr>
      <w:tr w:rsidR="00184287" w:rsidRPr="00184287" w:rsidTr="00762B81">
        <w:trPr>
          <w:cantSplit/>
        </w:trPr>
        <w:tc>
          <w:tcPr>
            <w:tcW w:w="10031" w:type="dxa"/>
            <w:gridSpan w:val="2"/>
          </w:tcPr>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bookmarkStart w:id="7" w:name="dtitle1" w:colFirst="0" w:colLast="0"/>
            <w:bookmarkEnd w:id="6"/>
          </w:p>
        </w:tc>
      </w:tr>
    </w:tbl>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bookmarkStart w:id="8" w:name="dbreak"/>
      <w:bookmarkEnd w:id="7"/>
      <w:bookmarkEnd w:id="8"/>
      <w:r w:rsidRPr="00184287">
        <w:rPr>
          <w:lang w:val="en-GB"/>
        </w:rPr>
        <w:t xml:space="preserve">This document describes the initial evaluation results and activities identified for IMT-2020 candidate technology submissions in </w:t>
      </w:r>
      <w:r w:rsidRPr="00062490">
        <w:rPr>
          <w:lang w:val="en-GB"/>
        </w:rPr>
        <w:t xml:space="preserve">Documents </w:t>
      </w:r>
      <w:hyperlink r:id="rId9" w:history="1">
        <w:r w:rsidRPr="00601283">
          <w:rPr>
            <w:rStyle w:val="Hyperlink"/>
            <w:lang w:val="en-GB"/>
          </w:rPr>
          <w:t xml:space="preserve">IMT-2020/3 (Rev. </w:t>
        </w:r>
        <w:r w:rsidR="004232DC" w:rsidRPr="00601283">
          <w:rPr>
            <w:rStyle w:val="Hyperlink"/>
            <w:lang w:val="en-GB"/>
          </w:rPr>
          <w:t>3</w:t>
        </w:r>
        <w:r w:rsidRPr="00601283">
          <w:rPr>
            <w:rStyle w:val="Hyperlink"/>
            <w:lang w:val="en-GB"/>
          </w:rPr>
          <w:t>)</w:t>
        </w:r>
      </w:hyperlink>
      <w:r w:rsidRPr="00184287">
        <w:rPr>
          <w:rFonts w:hint="eastAsia"/>
          <w:lang w:val="en-GB"/>
        </w:rPr>
        <w:t xml:space="preserve"> </w:t>
      </w:r>
      <w:r w:rsidRPr="00184287">
        <w:rPr>
          <w:lang w:val="en-GB"/>
        </w:rPr>
        <w:t xml:space="preserve">from </w:t>
      </w:r>
      <w:r w:rsidR="00E9199D">
        <w:rPr>
          <w:lang w:val="en-GB"/>
        </w:rPr>
        <w:t xml:space="preserve">the </w:t>
      </w:r>
      <w:r w:rsidR="00E9199D">
        <w:rPr>
          <w:lang w:val="en-US"/>
        </w:rPr>
        <w:t>5GIF</w:t>
      </w:r>
      <w:r w:rsidRPr="00184287">
        <w:rPr>
          <w:lang w:val="en-US"/>
        </w:rPr>
        <w:t xml:space="preserve"> Evaluation Group</w:t>
      </w:r>
      <w:r w:rsidRPr="00184287">
        <w:rPr>
          <w:lang w:val="en-GB"/>
        </w:rPr>
        <w:t>.</w:t>
      </w:r>
    </w:p>
    <w:p w:rsidR="00184287" w:rsidRPr="00184287" w:rsidRDefault="00184287" w:rsidP="00184287">
      <w:pPr>
        <w:tabs>
          <w:tab w:val="clear" w:pos="794"/>
          <w:tab w:val="clear" w:pos="1191"/>
          <w:tab w:val="clear" w:pos="1588"/>
          <w:tab w:val="clear" w:pos="1985"/>
        </w:tabs>
        <w:overflowPunct/>
        <w:autoSpaceDE/>
        <w:autoSpaceDN/>
        <w:adjustRightInd/>
        <w:spacing w:before="0" w:after="160" w:line="259" w:lineRule="auto"/>
        <w:jc w:val="left"/>
        <w:textAlignment w:val="auto"/>
        <w:rPr>
          <w:b/>
          <w:lang w:val="en-US"/>
        </w:rPr>
      </w:pPr>
      <w:r w:rsidRPr="00184287">
        <w:rPr>
          <w:b/>
          <w:lang w:val="en-US"/>
        </w:rPr>
        <w:t>1</w:t>
      </w:r>
      <w:r w:rsidRPr="00184287">
        <w:rPr>
          <w:b/>
          <w:lang w:val="en-US"/>
        </w:rPr>
        <w:tab/>
        <w:t>Background</w:t>
      </w:r>
    </w:p>
    <w:p w:rsidR="00725974" w:rsidRDefault="00A324BE"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r>
        <w:rPr>
          <w:lang w:val="en-GB"/>
        </w:rPr>
        <w:t xml:space="preserve">The 5G India Forum (5GIF) is a collaborative body under the aegis of </w:t>
      </w:r>
      <w:r w:rsidR="001E39C8">
        <w:rPr>
          <w:lang w:val="en-GB"/>
        </w:rPr>
        <w:t xml:space="preserve">the Cellular Operators Association of India (COAI). This forum </w:t>
      </w:r>
      <w:r w:rsidR="00F06170" w:rsidRPr="00F06170">
        <w:rPr>
          <w:lang w:val="en-GB"/>
        </w:rPr>
        <w:t>aims to become the leading force in the development of next generation communications and will enable synergizing national efforts and will play a significant role in shaping the strategic, commercial and regulatory development of the 5G ecosystem in India.</w:t>
      </w:r>
    </w:p>
    <w:p w:rsidR="00113BAB" w:rsidRDefault="00113BAB"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r w:rsidRPr="00601283">
        <w:rPr>
          <w:lang w:val="en-GB"/>
        </w:rPr>
        <w:t xml:space="preserve">The 5GIF Evaluation Group </w:t>
      </w:r>
      <w:r w:rsidR="002E3311" w:rsidRPr="00601283">
        <w:rPr>
          <w:lang w:val="en-GB"/>
        </w:rPr>
        <w:t xml:space="preserve">was formed </w:t>
      </w:r>
      <w:r w:rsidR="00CF0C7C" w:rsidRPr="00601283">
        <w:rPr>
          <w:lang w:val="en-GB"/>
        </w:rPr>
        <w:t xml:space="preserve">as an independent </w:t>
      </w:r>
      <w:r w:rsidR="008F4BA1" w:rsidRPr="00601283">
        <w:rPr>
          <w:lang w:val="en-GB"/>
        </w:rPr>
        <w:t xml:space="preserve">Evaluation Group </w:t>
      </w:r>
      <w:r w:rsidR="002E3311" w:rsidRPr="00601283">
        <w:rPr>
          <w:lang w:val="en-GB"/>
        </w:rPr>
        <w:t xml:space="preserve">to evaluate the IMT2020 candidates </w:t>
      </w:r>
      <w:r w:rsidR="008F4BA1" w:rsidRPr="00601283">
        <w:rPr>
          <w:lang w:val="en-GB"/>
        </w:rPr>
        <w:t xml:space="preserve">with a perspective from the Indian network deployments. </w:t>
      </w:r>
      <w:r w:rsidR="00DC2907" w:rsidRPr="00601283">
        <w:rPr>
          <w:lang w:val="en-GB"/>
        </w:rPr>
        <w:t>This is a group of operators, OEM’s, universities and individual experts participating in a collaborative manner to evaluate the IMT2020</w:t>
      </w:r>
      <w:r w:rsidR="00325061" w:rsidRPr="00601283">
        <w:rPr>
          <w:lang w:val="en-GB"/>
        </w:rPr>
        <w:t xml:space="preserve"> candidate technologies.</w:t>
      </w:r>
      <w:r w:rsidR="00525A74" w:rsidRPr="00601283">
        <w:rPr>
          <w:lang w:val="en-GB"/>
        </w:rPr>
        <w:t xml:space="preserve"> This is a contribution driven body, with decisions made </w:t>
      </w:r>
      <w:r w:rsidR="00F257FE" w:rsidRPr="00601283">
        <w:rPr>
          <w:lang w:val="en-GB"/>
        </w:rPr>
        <w:t>through a consensus seeking approach.</w:t>
      </w:r>
    </w:p>
    <w:p w:rsidR="00255C5B" w:rsidRDefault="00255C5B" w:rsidP="00184287">
      <w:p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p>
    <w:p w:rsidR="003119B3" w:rsidRPr="00184287" w:rsidRDefault="003119B3" w:rsidP="003119B3">
      <w:pPr>
        <w:tabs>
          <w:tab w:val="clear" w:pos="794"/>
          <w:tab w:val="clear" w:pos="1191"/>
          <w:tab w:val="clear" w:pos="1588"/>
          <w:tab w:val="clear" w:pos="1985"/>
        </w:tabs>
        <w:overflowPunct/>
        <w:autoSpaceDE/>
        <w:autoSpaceDN/>
        <w:adjustRightInd/>
        <w:spacing w:before="0" w:after="160" w:line="259" w:lineRule="auto"/>
        <w:jc w:val="left"/>
        <w:textAlignment w:val="auto"/>
        <w:rPr>
          <w:b/>
          <w:lang w:val="en-US"/>
        </w:rPr>
      </w:pPr>
      <w:r>
        <w:rPr>
          <w:b/>
          <w:lang w:val="en-US"/>
        </w:rPr>
        <w:t>2</w:t>
      </w:r>
      <w:r w:rsidRPr="00184287">
        <w:rPr>
          <w:b/>
          <w:lang w:val="en-US"/>
        </w:rPr>
        <w:tab/>
      </w:r>
      <w:r w:rsidR="001F3FAB">
        <w:rPr>
          <w:b/>
          <w:lang w:val="en-US"/>
        </w:rPr>
        <w:t>C</w:t>
      </w:r>
      <w:r w:rsidR="00E1485E">
        <w:rPr>
          <w:b/>
          <w:lang w:val="en-US"/>
        </w:rPr>
        <w:t>ontact</w:t>
      </w:r>
      <w:r w:rsidR="001F3FAB">
        <w:rPr>
          <w:b/>
          <w:lang w:val="en-US"/>
        </w:rPr>
        <w:t xml:space="preserve"> detail</w:t>
      </w:r>
      <w:r w:rsidR="00E1485E">
        <w:rPr>
          <w:b/>
          <w:lang w:val="en-US"/>
        </w:rPr>
        <w:t>s</w:t>
      </w:r>
    </w:p>
    <w:p w:rsidR="0041438B" w:rsidRPr="0041438B" w:rsidRDefault="0041438B" w:rsidP="0041438B">
      <w:pPr>
        <w:tabs>
          <w:tab w:val="clear" w:pos="794"/>
          <w:tab w:val="clear" w:pos="1191"/>
          <w:tab w:val="clear" w:pos="1588"/>
          <w:tab w:val="clear" w:pos="1985"/>
        </w:tabs>
        <w:overflowPunct/>
        <w:autoSpaceDE/>
        <w:autoSpaceDN/>
        <w:adjustRightInd/>
        <w:spacing w:before="0" w:after="160" w:line="259" w:lineRule="auto"/>
        <w:ind w:firstLine="720"/>
        <w:jc w:val="left"/>
        <w:textAlignment w:val="auto"/>
        <w:rPr>
          <w:b/>
          <w:lang w:val="en-GB"/>
        </w:rPr>
      </w:pPr>
      <w:r w:rsidRPr="0041438B">
        <w:rPr>
          <w:b/>
          <w:lang w:val="en-GB"/>
        </w:rPr>
        <w:t>Vikram Tiwathia</w:t>
      </w:r>
    </w:p>
    <w:p w:rsidR="0041438B" w:rsidRPr="008F1D2F" w:rsidRDefault="0041438B" w:rsidP="0041438B">
      <w:pPr>
        <w:pStyle w:val="ListParagraph"/>
        <w:numPr>
          <w:ilvl w:val="0"/>
          <w:numId w:val="1"/>
        </w:num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r w:rsidRPr="008F1D2F">
        <w:rPr>
          <w:lang w:val="en-GB"/>
        </w:rPr>
        <w:t>Telephone:  +91 11 2334 9275</w:t>
      </w:r>
    </w:p>
    <w:p w:rsidR="008F1D2F" w:rsidRPr="008F1D2F" w:rsidRDefault="0041438B" w:rsidP="0041438B">
      <w:pPr>
        <w:pStyle w:val="ListParagraph"/>
        <w:numPr>
          <w:ilvl w:val="0"/>
          <w:numId w:val="1"/>
        </w:num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pPr>
      <w:r w:rsidRPr="008F1D2F">
        <w:rPr>
          <w:lang w:val="en-GB"/>
        </w:rPr>
        <w:t xml:space="preserve">Email: </w:t>
      </w:r>
      <w:hyperlink r:id="rId10" w:history="1">
        <w:r w:rsidR="008F1D2F" w:rsidRPr="008F1D2F">
          <w:rPr>
            <w:rStyle w:val="Hyperlink"/>
            <w:lang w:val="en-GB"/>
          </w:rPr>
          <w:t>imt2020@5gindiaforum.in</w:t>
        </w:r>
      </w:hyperlink>
    </w:p>
    <w:p w:rsidR="002A37D3" w:rsidRPr="008F1D2F" w:rsidRDefault="0041438B" w:rsidP="0041438B">
      <w:pPr>
        <w:pStyle w:val="ListParagraph"/>
        <w:numPr>
          <w:ilvl w:val="0"/>
          <w:numId w:val="1"/>
        </w:numPr>
        <w:tabs>
          <w:tab w:val="clear" w:pos="794"/>
          <w:tab w:val="clear" w:pos="1191"/>
          <w:tab w:val="clear" w:pos="1588"/>
          <w:tab w:val="clear" w:pos="1985"/>
        </w:tabs>
        <w:overflowPunct/>
        <w:autoSpaceDE/>
        <w:autoSpaceDN/>
        <w:adjustRightInd/>
        <w:spacing w:before="0" w:after="160" w:line="259" w:lineRule="auto"/>
        <w:jc w:val="left"/>
        <w:textAlignment w:val="auto"/>
        <w:rPr>
          <w:lang w:val="en-GB"/>
        </w:rPr>
        <w:sectPr w:rsidR="002A37D3" w:rsidRPr="008F1D2F" w:rsidSect="00725974">
          <w:pgSz w:w="11906" w:h="16838" w:code="9"/>
          <w:pgMar w:top="1152" w:right="1152" w:bottom="1152" w:left="1440" w:header="850" w:footer="850" w:gutter="0"/>
          <w:cols w:space="720"/>
          <w:docGrid w:type="lines" w:linePitch="360"/>
        </w:sectPr>
      </w:pPr>
      <w:r w:rsidRPr="008F1D2F">
        <w:rPr>
          <w:lang w:val="en-GB"/>
        </w:rPr>
        <w:t xml:space="preserve">Related website: </w:t>
      </w:r>
      <w:hyperlink r:id="rId11" w:history="1">
        <w:r w:rsidR="008F1D2F" w:rsidRPr="00E948C9">
          <w:rPr>
            <w:rStyle w:val="Hyperlink"/>
            <w:lang w:val="en-GB"/>
          </w:rPr>
          <w:t>https://www.coai.com/5g_india_forum</w:t>
        </w:r>
      </w:hyperlink>
      <w:r w:rsidR="008F1D2F">
        <w:rPr>
          <w:lang w:val="en-GB"/>
        </w:rPr>
        <w:t xml:space="preserve"> </w:t>
      </w:r>
    </w:p>
    <w:p w:rsidR="000B7B5C" w:rsidRDefault="00B34D1B" w:rsidP="00ED3479">
      <w:pPr>
        <w:pStyle w:val="Heading3"/>
        <w:rPr>
          <w:lang w:val="en-GB"/>
        </w:rPr>
      </w:pPr>
      <w:r>
        <w:rPr>
          <w:lang w:val="en-GB"/>
        </w:rPr>
        <w:t>3</w:t>
      </w:r>
      <w:r>
        <w:rPr>
          <w:lang w:val="en-GB"/>
        </w:rPr>
        <w:tab/>
      </w:r>
      <w:r w:rsidR="000B7B5C">
        <w:rPr>
          <w:lang w:val="en-GB"/>
        </w:rPr>
        <w:t>Evaluation</w:t>
      </w:r>
      <w:r>
        <w:rPr>
          <w:lang w:val="en-GB"/>
        </w:rPr>
        <w:t xml:space="preserve"> details</w:t>
      </w:r>
    </w:p>
    <w:p w:rsidR="0008420B" w:rsidRPr="00791C67" w:rsidRDefault="009B599A" w:rsidP="0008420B">
      <w:pPr>
        <w:rPr>
          <w:lang w:val="en-GB"/>
        </w:rPr>
      </w:pPr>
      <w:r w:rsidRPr="00062490">
        <w:rPr>
          <w:lang w:val="en-US"/>
        </w:rPr>
        <w:t xml:space="preserve">The 5GIF Evaluation Group has started receiving members inputs to the </w:t>
      </w:r>
      <w:r w:rsidR="005A5FBC" w:rsidRPr="00062490">
        <w:rPr>
          <w:lang w:val="en-US"/>
        </w:rPr>
        <w:t xml:space="preserve">activity. We had prioritized on the </w:t>
      </w:r>
      <w:r w:rsidR="006A7BBA" w:rsidRPr="00791C67">
        <w:rPr>
          <w:lang w:val="en-US"/>
        </w:rPr>
        <w:t>Inspection and</w:t>
      </w:r>
      <w:r w:rsidR="005A5FBC" w:rsidRPr="00062490">
        <w:rPr>
          <w:lang w:val="en-US"/>
        </w:rPr>
        <w:t xml:space="preserve"> </w:t>
      </w:r>
      <w:r w:rsidR="006A7BBA" w:rsidRPr="00791C67">
        <w:rPr>
          <w:lang w:val="en-US"/>
        </w:rPr>
        <w:t>analytical aspects</w:t>
      </w:r>
      <w:r w:rsidR="005A5FBC" w:rsidRPr="00062490">
        <w:rPr>
          <w:lang w:val="en-US"/>
        </w:rPr>
        <w:t xml:space="preserve"> of the</w:t>
      </w:r>
      <w:r w:rsidR="00AB189B" w:rsidRPr="00062490">
        <w:rPr>
          <w:lang w:val="en-US"/>
        </w:rPr>
        <w:t xml:space="preserve"> </w:t>
      </w:r>
      <w:r w:rsidR="005A5FBC" w:rsidRPr="00062490">
        <w:rPr>
          <w:lang w:val="en-US"/>
        </w:rPr>
        <w:t>evaluation</w:t>
      </w:r>
      <w:r w:rsidR="00076096" w:rsidRPr="00062490">
        <w:rPr>
          <w:lang w:val="en-US"/>
        </w:rPr>
        <w:t xml:space="preserve">. This will be followed up with </w:t>
      </w:r>
      <w:r w:rsidR="003421BD" w:rsidRPr="00791C67">
        <w:rPr>
          <w:lang w:val="en-US"/>
        </w:rPr>
        <w:t xml:space="preserve">detailed analysis </w:t>
      </w:r>
      <w:r w:rsidR="00076096" w:rsidRPr="00062490">
        <w:rPr>
          <w:lang w:val="en-US"/>
        </w:rPr>
        <w:t>in</w:t>
      </w:r>
      <w:r w:rsidR="00123601" w:rsidRPr="00062490">
        <w:rPr>
          <w:lang w:val="en-US"/>
        </w:rPr>
        <w:t xml:space="preserve"> subsequent meetings.</w:t>
      </w:r>
      <w:r w:rsidR="00AB189B" w:rsidRPr="00062490">
        <w:rPr>
          <w:lang w:val="en-US"/>
        </w:rPr>
        <w:t xml:space="preserve"> </w:t>
      </w:r>
      <w:r w:rsidR="00F82677" w:rsidRPr="00062490">
        <w:rPr>
          <w:lang w:val="en-US"/>
        </w:rPr>
        <w:t xml:space="preserve">Moreover, in this contribution, the </w:t>
      </w:r>
      <w:r w:rsidR="009D3A44" w:rsidRPr="00062490">
        <w:rPr>
          <w:lang w:val="en-US"/>
        </w:rPr>
        <w:t xml:space="preserve">preliminary </w:t>
      </w:r>
      <w:r w:rsidR="00F82677" w:rsidRPr="00062490">
        <w:rPr>
          <w:lang w:val="en-US"/>
        </w:rPr>
        <w:t xml:space="preserve">results </w:t>
      </w:r>
      <w:r w:rsidR="009D3A44" w:rsidRPr="00062490">
        <w:rPr>
          <w:lang w:val="en-US"/>
        </w:rPr>
        <w:t>are provided only for the 3GPP NR RIT candidate</w:t>
      </w:r>
      <w:r w:rsidR="00332C36" w:rsidRPr="00062490">
        <w:rPr>
          <w:lang w:val="en-US"/>
        </w:rPr>
        <w:t xml:space="preserve">. We have an ongoing </w:t>
      </w:r>
      <w:r w:rsidR="006264A5" w:rsidRPr="00062490">
        <w:rPr>
          <w:lang w:val="en-US"/>
        </w:rPr>
        <w:t>simulation study in evaluating the remaining aspects on the evaluation. Currently we are calibrating the simulators with</w:t>
      </w:r>
      <w:r w:rsidR="0051430B" w:rsidRPr="00062490">
        <w:rPr>
          <w:lang w:val="en-US"/>
        </w:rPr>
        <w:t xml:space="preserve">in the </w:t>
      </w:r>
      <w:r w:rsidR="008C1A6E" w:rsidRPr="00791C67">
        <w:rPr>
          <w:lang w:val="en-US"/>
        </w:rPr>
        <w:t>group</w:t>
      </w:r>
      <w:r w:rsidR="008C1A6E">
        <w:rPr>
          <w:lang w:val="en-US"/>
        </w:rPr>
        <w:t xml:space="preserve"> and</w:t>
      </w:r>
      <w:r w:rsidR="0051430B" w:rsidRPr="00062490">
        <w:rPr>
          <w:lang w:val="en-US"/>
        </w:rPr>
        <w:t xml:space="preserve"> </w:t>
      </w:r>
      <w:r w:rsidR="00AE4111">
        <w:rPr>
          <w:lang w:val="en-US"/>
        </w:rPr>
        <w:t xml:space="preserve">look forward engaging </w:t>
      </w:r>
      <w:r w:rsidR="0051430B" w:rsidRPr="00062490">
        <w:rPr>
          <w:lang w:val="en-US"/>
        </w:rPr>
        <w:t xml:space="preserve">with </w:t>
      </w:r>
      <w:r w:rsidR="00AE4111">
        <w:rPr>
          <w:lang w:val="en-US"/>
        </w:rPr>
        <w:t xml:space="preserve">other </w:t>
      </w:r>
      <w:r w:rsidR="0051430B" w:rsidRPr="00062490">
        <w:rPr>
          <w:lang w:val="en-US"/>
        </w:rPr>
        <w:t>IEGs.</w:t>
      </w:r>
      <w:r w:rsidR="009D3A44" w:rsidRPr="00062490">
        <w:rPr>
          <w:lang w:val="en-US"/>
        </w:rPr>
        <w:t xml:space="preserve"> </w:t>
      </w:r>
      <w:r w:rsidR="00791C67" w:rsidRPr="00062490">
        <w:rPr>
          <w:lang w:val="en-US"/>
        </w:rPr>
        <w:t>We will strive to provide a detailed report to the WP5D#33 meeting in Dec 2019.</w:t>
      </w:r>
    </w:p>
    <w:p w:rsidR="00791C67" w:rsidRDefault="00791C67" w:rsidP="0008420B">
      <w:pPr>
        <w:rPr>
          <w:b/>
          <w:lang w:val="en-US"/>
        </w:rPr>
      </w:pPr>
    </w:p>
    <w:p w:rsidR="0008420B" w:rsidRPr="0008420B" w:rsidRDefault="0008420B" w:rsidP="0008420B">
      <w:pPr>
        <w:rPr>
          <w:b/>
          <w:lang w:val="en-US"/>
        </w:rPr>
      </w:pPr>
      <w:r w:rsidRPr="0008420B">
        <w:rPr>
          <w:b/>
          <w:lang w:val="en-US"/>
        </w:rPr>
        <w:t>3.1</w:t>
      </w:r>
      <w:r w:rsidRPr="0008420B">
        <w:rPr>
          <w:b/>
          <w:lang w:val="en-US"/>
        </w:rPr>
        <w:tab/>
        <w:t>Use of information in Report ITU-R M.2412</w:t>
      </w:r>
    </w:p>
    <w:p w:rsidR="0008420B" w:rsidRPr="0008420B" w:rsidRDefault="0008420B" w:rsidP="0008420B">
      <w:pPr>
        <w:rPr>
          <w:i/>
          <w:lang w:val="en-US"/>
        </w:rPr>
      </w:pPr>
      <w:r w:rsidRPr="0008420B">
        <w:rPr>
          <w:i/>
          <w:lang w:val="en-US"/>
        </w:rPr>
        <w:t>Working Party 5D has defined evaluation guidelines for IMT-2020 candidate technology evaluation in the Report ITU-R M.2412. The latest version of this document is Report ITU-R M.2412-0.</w:t>
      </w:r>
    </w:p>
    <w:p w:rsidR="0008420B" w:rsidRPr="0008420B" w:rsidRDefault="0008420B" w:rsidP="0008420B">
      <w:pPr>
        <w:rPr>
          <w:lang w:val="en-US"/>
        </w:rPr>
      </w:pPr>
      <w:r w:rsidRPr="0008420B">
        <w:rPr>
          <w:i/>
          <w:lang w:val="en-US"/>
        </w:rPr>
        <w:t>Independent Evaluation Groups are requested to indicate in their inputs to Working Party 5D that they applied Report ITU-R M.2412-0 in their evaluation.</w:t>
      </w:r>
    </w:p>
    <w:p w:rsidR="0008420B" w:rsidRPr="0008420B" w:rsidRDefault="0008420B" w:rsidP="0008420B">
      <w:pPr>
        <w:rPr>
          <w:lang w:val="en-US"/>
        </w:rPr>
      </w:pPr>
      <w:r w:rsidRPr="0008420B">
        <w:rPr>
          <w:lang w:val="en-US"/>
        </w:rPr>
        <w:t>Does Independent Evaluation Group confirm use of Report ITU-R M.2412-0 in their work?</w:t>
      </w:r>
    </w:p>
    <w:p w:rsidR="0008420B" w:rsidRPr="0008420B" w:rsidRDefault="0008420B" w:rsidP="0008420B">
      <w:pPr>
        <w:rPr>
          <w:lang w:val="en-US"/>
        </w:rPr>
      </w:pPr>
      <w:r w:rsidRPr="0008420B">
        <w:rPr>
          <w:rFonts w:hint="eastAsia"/>
          <w:lang w:val="en-GB"/>
        </w:rPr>
        <w:sym w:font="Wingdings" w:char="F0FE"/>
      </w:r>
      <w:r w:rsidRPr="0008420B">
        <w:rPr>
          <w:lang w:val="en-GB"/>
        </w:rPr>
        <w:t xml:space="preserve"> </w:t>
      </w:r>
      <w:r w:rsidRPr="0008420B">
        <w:rPr>
          <w:lang w:val="en-US"/>
        </w:rPr>
        <w:t>Yes</w:t>
      </w:r>
      <w:r w:rsidRPr="0008420B">
        <w:rPr>
          <w:lang w:val="en-US"/>
        </w:rPr>
        <w:tab/>
      </w:r>
      <w:r w:rsidRPr="0008420B">
        <w:rPr>
          <w:rFonts w:hint="eastAsia"/>
          <w:lang w:val="en-GB"/>
        </w:rPr>
        <w:sym w:font="Wingdings" w:char="F0A8"/>
      </w:r>
      <w:r w:rsidRPr="0008420B">
        <w:rPr>
          <w:lang w:val="en-US"/>
        </w:rPr>
        <w:t xml:space="preserve"> No</w:t>
      </w:r>
    </w:p>
    <w:p w:rsidR="00B84C42" w:rsidRPr="00B84C42" w:rsidRDefault="00B84C42" w:rsidP="00B84C42">
      <w:pPr>
        <w:rPr>
          <w:lang w:val="en-GB"/>
        </w:rPr>
      </w:pPr>
    </w:p>
    <w:p w:rsidR="00B0127E" w:rsidRPr="00B0127E" w:rsidRDefault="00472810" w:rsidP="00B0127E">
      <w:pPr>
        <w:rPr>
          <w:lang w:val="en-GB"/>
        </w:rPr>
      </w:pPr>
      <w:r>
        <w:rPr>
          <w:lang w:val="en-GB"/>
        </w:rPr>
        <w:t xml:space="preserve">#### Section below is </w:t>
      </w:r>
      <w:r w:rsidR="00565FDB">
        <w:rPr>
          <w:lang w:val="en-GB"/>
        </w:rPr>
        <w:t xml:space="preserve">reproduced from </w:t>
      </w:r>
      <w:r>
        <w:rPr>
          <w:lang w:val="en-GB"/>
        </w:rPr>
        <w:t>M.</w:t>
      </w:r>
      <w:r w:rsidR="00B84C42">
        <w:rPr>
          <w:lang w:val="en-GB"/>
        </w:rPr>
        <w:t>2411 ###</w:t>
      </w:r>
    </w:p>
    <w:p w:rsidR="00ED3479" w:rsidRPr="00D20117" w:rsidRDefault="00ED3479" w:rsidP="00ED3479">
      <w:pPr>
        <w:pStyle w:val="Heading3"/>
        <w:rPr>
          <w:lang w:val="en-GB"/>
        </w:rPr>
      </w:pPr>
      <w:r w:rsidRPr="00D20117">
        <w:rPr>
          <w:lang w:val="en-GB"/>
        </w:rPr>
        <w:t>5.2.4</w:t>
      </w:r>
      <w:r w:rsidRPr="00D20117">
        <w:rPr>
          <w:lang w:val="en-GB"/>
        </w:rPr>
        <w:tab/>
        <w:t xml:space="preserve">RIT/SRIT </w:t>
      </w:r>
      <w:r>
        <w:rPr>
          <w:rStyle w:val="Heading3CharChar1"/>
        </w:rPr>
        <w:t>compliance</w:t>
      </w:r>
      <w:r w:rsidRPr="00D20117">
        <w:rPr>
          <w:lang w:val="en-GB"/>
        </w:rPr>
        <w:t xml:space="preserve"> templates</w:t>
      </w:r>
    </w:p>
    <w:p w:rsidR="00ED3479" w:rsidRPr="00D20117" w:rsidRDefault="00ED3479" w:rsidP="00ED3479">
      <w:pPr>
        <w:rPr>
          <w:lang w:val="en-GB"/>
        </w:rPr>
      </w:pPr>
      <w:r w:rsidRPr="00D20117">
        <w:rPr>
          <w:lang w:val="en-GB"/>
        </w:rPr>
        <w:t xml:space="preserve">This section provides templates for the responses that are needed to assess the compliance of a candidate RIT or SRIT with the minimum requirements of IMT-2020. </w:t>
      </w:r>
    </w:p>
    <w:p w:rsidR="00ED3479" w:rsidRPr="00D20117" w:rsidRDefault="00ED3479" w:rsidP="00ED3479">
      <w:pPr>
        <w:rPr>
          <w:lang w:val="en-GB"/>
        </w:rPr>
      </w:pPr>
      <w:r w:rsidRPr="00D20117">
        <w:rPr>
          <w:lang w:val="en-GB"/>
        </w:rPr>
        <w:t>The compliance templates are:</w:t>
      </w:r>
    </w:p>
    <w:p w:rsidR="00ED3479" w:rsidRPr="00D20117" w:rsidRDefault="00ED3479" w:rsidP="00ED3479">
      <w:pPr>
        <w:pStyle w:val="enumlev1"/>
        <w:rPr>
          <w:lang w:val="en-GB"/>
        </w:rPr>
      </w:pPr>
      <w:r w:rsidRPr="00D20117">
        <w:rPr>
          <w:lang w:val="en-GB"/>
        </w:rPr>
        <w:t>–</w:t>
      </w:r>
      <w:r w:rsidRPr="00D20117">
        <w:rPr>
          <w:lang w:val="en-GB"/>
        </w:rPr>
        <w:tab/>
        <w:t>Compliance template for services;</w:t>
      </w:r>
    </w:p>
    <w:p w:rsidR="00ED3479" w:rsidRPr="00D20117" w:rsidRDefault="00ED3479" w:rsidP="00ED3479">
      <w:pPr>
        <w:pStyle w:val="enumlev1"/>
        <w:rPr>
          <w:lang w:val="en-GB"/>
        </w:rPr>
      </w:pPr>
      <w:r w:rsidRPr="00D20117">
        <w:rPr>
          <w:lang w:val="en-GB"/>
        </w:rPr>
        <w:t>–</w:t>
      </w:r>
      <w:r w:rsidRPr="00D20117">
        <w:rPr>
          <w:lang w:val="en-GB"/>
        </w:rPr>
        <w:tab/>
        <w:t>Compliance template for spectrum; and,</w:t>
      </w:r>
      <w:r w:rsidR="00A86385">
        <w:rPr>
          <w:lang w:val="en-GB"/>
        </w:rPr>
        <w:tab/>
      </w:r>
    </w:p>
    <w:p w:rsidR="00ED3479" w:rsidRDefault="00ED3479" w:rsidP="00ED3479">
      <w:pPr>
        <w:pStyle w:val="enumlev1"/>
      </w:pPr>
      <w:r>
        <w:t>–</w:t>
      </w:r>
      <w:r>
        <w:tab/>
        <w:t>Compliance template for technical performance.</w:t>
      </w:r>
    </w:p>
    <w:p w:rsidR="00ED3479" w:rsidRDefault="00ED3479" w:rsidP="00ED3479">
      <w:pPr>
        <w:pStyle w:val="Heading4"/>
        <w:spacing w:after="120"/>
      </w:pPr>
      <w:r>
        <w:t xml:space="preserve">5.2.4.1 </w:t>
      </w:r>
      <w:r>
        <w:tab/>
        <w:t xml:space="preserve">Compliance template </w:t>
      </w:r>
      <w:r>
        <w:rPr>
          <w:rStyle w:val="Heading4CharChar"/>
        </w:rPr>
        <w:t>for</w:t>
      </w:r>
      <w:r>
        <w:t xml:space="preserve"> services</w:t>
      </w:r>
      <w:r>
        <w:rPr>
          <w:position w:val="6"/>
          <w:sz w:val="18"/>
        </w:rPr>
        <w:footnoteReference w:id="1"/>
      </w:r>
    </w:p>
    <w:p w:rsidR="00ED3479" w:rsidRPr="003F3E71" w:rsidRDefault="00ED3479" w:rsidP="00ED3479"/>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4946"/>
        <w:gridCol w:w="8096"/>
      </w:tblGrid>
      <w:tr w:rsidR="00ED3479" w:rsidTr="00462568">
        <w:tc>
          <w:tcPr>
            <w:tcW w:w="1173" w:type="dxa"/>
            <w:tcBorders>
              <w:top w:val="single" w:sz="4" w:space="0" w:color="auto"/>
              <w:left w:val="single" w:sz="4" w:space="0" w:color="auto"/>
              <w:bottom w:val="single" w:sz="4" w:space="0" w:color="auto"/>
              <w:right w:val="single" w:sz="4" w:space="0" w:color="auto"/>
            </w:tcBorders>
          </w:tcPr>
          <w:p w:rsidR="00ED3479" w:rsidRDefault="00ED3479" w:rsidP="00BC5E0A">
            <w:pPr>
              <w:pStyle w:val="Tablehead"/>
              <w:rPr>
                <w:rFonts w:eastAsia="SimSun"/>
              </w:rPr>
            </w:pPr>
          </w:p>
        </w:tc>
        <w:tc>
          <w:tcPr>
            <w:tcW w:w="4946" w:type="dxa"/>
            <w:tcBorders>
              <w:top w:val="single" w:sz="4" w:space="0" w:color="auto"/>
              <w:left w:val="single" w:sz="4" w:space="0" w:color="auto"/>
              <w:bottom w:val="single" w:sz="4" w:space="0" w:color="auto"/>
              <w:right w:val="single" w:sz="4" w:space="0" w:color="auto"/>
            </w:tcBorders>
            <w:hideMark/>
          </w:tcPr>
          <w:p w:rsidR="00ED3479" w:rsidRDefault="00ED3479" w:rsidP="00BC5E0A">
            <w:pPr>
              <w:pStyle w:val="Tablehead"/>
              <w:rPr>
                <w:rFonts w:eastAsia="SimSun"/>
              </w:rPr>
            </w:pPr>
            <w:r>
              <w:rPr>
                <w:rFonts w:eastAsia="SimSun"/>
              </w:rPr>
              <w:t>S</w:t>
            </w:r>
            <w:r>
              <w:t>ervice</w:t>
            </w:r>
            <w:r>
              <w:rPr>
                <w:rFonts w:eastAsia="SimSun"/>
              </w:rPr>
              <w:t xml:space="preserve"> capability requirements</w:t>
            </w:r>
          </w:p>
        </w:tc>
        <w:tc>
          <w:tcPr>
            <w:tcW w:w="8096" w:type="dxa"/>
            <w:tcBorders>
              <w:top w:val="single" w:sz="4" w:space="0" w:color="auto"/>
              <w:left w:val="single" w:sz="4" w:space="0" w:color="auto"/>
              <w:bottom w:val="single" w:sz="4" w:space="0" w:color="auto"/>
              <w:right w:val="single" w:sz="4" w:space="0" w:color="auto"/>
            </w:tcBorders>
            <w:hideMark/>
          </w:tcPr>
          <w:p w:rsidR="00ED3479" w:rsidRDefault="00ED3479" w:rsidP="00BC5E0A">
            <w:pPr>
              <w:pStyle w:val="Tablehead"/>
              <w:rPr>
                <w:rFonts w:eastAsia="SimSun"/>
              </w:rPr>
            </w:pPr>
            <w:r>
              <w:rPr>
                <w:rFonts w:eastAsia="SimSun"/>
              </w:rPr>
              <w:t>Evaluator’s comments</w:t>
            </w:r>
          </w:p>
        </w:tc>
      </w:tr>
      <w:tr w:rsidR="00ED3479" w:rsidRPr="003F3E71" w:rsidTr="00462568">
        <w:tc>
          <w:tcPr>
            <w:tcW w:w="1173" w:type="dxa"/>
            <w:tcBorders>
              <w:top w:val="single" w:sz="4" w:space="0" w:color="auto"/>
              <w:left w:val="single" w:sz="4" w:space="0" w:color="auto"/>
              <w:bottom w:val="single" w:sz="4" w:space="0" w:color="auto"/>
              <w:right w:val="single" w:sz="4" w:space="0" w:color="auto"/>
            </w:tcBorders>
            <w:hideMark/>
          </w:tcPr>
          <w:p w:rsidR="00ED3479" w:rsidRDefault="00ED3479" w:rsidP="00BC5E0A">
            <w:pPr>
              <w:pStyle w:val="Tabletext"/>
              <w:rPr>
                <w:rFonts w:eastAsia="MS Mincho"/>
                <w:b/>
                <w:bCs/>
              </w:rPr>
            </w:pPr>
            <w:r>
              <w:rPr>
                <w:b/>
                <w:bCs/>
              </w:rPr>
              <w:t>5</w:t>
            </w:r>
            <w:r>
              <w:rPr>
                <w:rFonts w:eastAsia="SimSun"/>
                <w:b/>
                <w:bCs/>
              </w:rPr>
              <w:t>.2.4.1</w:t>
            </w:r>
            <w:r>
              <w:rPr>
                <w:b/>
                <w:bCs/>
              </w:rPr>
              <w:t>.1</w:t>
            </w:r>
          </w:p>
        </w:tc>
        <w:tc>
          <w:tcPr>
            <w:tcW w:w="4946" w:type="dxa"/>
            <w:tcBorders>
              <w:top w:val="single" w:sz="4" w:space="0" w:color="auto"/>
              <w:left w:val="single" w:sz="4" w:space="0" w:color="auto"/>
              <w:bottom w:val="single" w:sz="4" w:space="0" w:color="auto"/>
              <w:right w:val="single" w:sz="4" w:space="0" w:color="auto"/>
            </w:tcBorders>
            <w:hideMark/>
          </w:tcPr>
          <w:p w:rsidR="00ED3479" w:rsidRPr="00D20117" w:rsidRDefault="00ED3479" w:rsidP="00BC5E0A">
            <w:pPr>
              <w:pStyle w:val="Tabletext"/>
              <w:rPr>
                <w:rFonts w:eastAsia="SimSun"/>
                <w:b/>
                <w:bCs/>
                <w:lang w:val="en-GB"/>
              </w:rPr>
            </w:pPr>
            <w:r w:rsidRPr="00D20117">
              <w:rPr>
                <w:b/>
                <w:bCs/>
                <w:lang w:val="en-GB"/>
              </w:rPr>
              <w:t>Support for wide range of services</w:t>
            </w:r>
          </w:p>
          <w:p w:rsidR="00ED3479" w:rsidRPr="00D20117" w:rsidRDefault="00ED3479" w:rsidP="00BC5E0A">
            <w:pPr>
              <w:pStyle w:val="Tabletext"/>
              <w:rPr>
                <w:rFonts w:eastAsia="MS Mincho"/>
                <w:lang w:val="en-GB"/>
              </w:rPr>
            </w:pPr>
            <w:r w:rsidRPr="00D20117">
              <w:rPr>
                <w:lang w:val="en-GB"/>
              </w:rPr>
              <w:t xml:space="preserve">Is the proposal able to support a range of services across </w:t>
            </w:r>
            <w:r w:rsidRPr="00D20117">
              <w:rPr>
                <w:rFonts w:eastAsia="Malgun Gothic"/>
                <w:lang w:val="en-GB"/>
              </w:rPr>
              <w:t>different</w:t>
            </w:r>
            <w:r w:rsidRPr="00D20117">
              <w:rPr>
                <w:lang w:val="en-GB"/>
              </w:rPr>
              <w:t xml:space="preserve"> usage scenarios (eMBB, URLLC, and mMTC)</w:t>
            </w:r>
            <w:r w:rsidRPr="00D20117">
              <w:rPr>
                <w:rFonts w:eastAsia="SimSun"/>
                <w:lang w:val="en-GB"/>
              </w:rPr>
              <w:t xml:space="preserve">?: </w:t>
            </w:r>
            <w:r w:rsidRPr="00D20117">
              <w:rPr>
                <w:rFonts w:eastAsia="SimSun"/>
                <w:lang w:val="en-GB"/>
              </w:rPr>
              <w:tab/>
            </w:r>
            <w:r w:rsidR="006C1539" w:rsidRPr="006C1539">
              <w:rPr>
                <w:rFonts w:eastAsia="SimSun" w:hint="eastAsia"/>
                <w:lang w:val="en-GB"/>
              </w:rPr>
              <w:sym w:font="Wingdings" w:char="F0FE"/>
            </w:r>
            <w:r w:rsidRPr="00D20117">
              <w:rPr>
                <w:rFonts w:eastAsia="SimSun"/>
                <w:lang w:val="en-GB"/>
              </w:rPr>
              <w:t xml:space="preserve">YES / </w:t>
            </w:r>
            <w:r>
              <w:rPr>
                <w:rFonts w:eastAsia="SimSun"/>
              </w:rPr>
              <w:sym w:font="Times New Roman" w:char="F072"/>
            </w:r>
            <w:r w:rsidRPr="00D20117">
              <w:rPr>
                <w:rFonts w:eastAsia="SimSun"/>
                <w:lang w:val="en-GB"/>
              </w:rPr>
              <w:t>NO</w:t>
            </w:r>
          </w:p>
          <w:p w:rsidR="00462568" w:rsidRDefault="00462568" w:rsidP="00BC5E0A">
            <w:pPr>
              <w:pStyle w:val="Tabletext"/>
              <w:rPr>
                <w:lang w:val="en-GB"/>
              </w:rPr>
            </w:pPr>
          </w:p>
          <w:p w:rsidR="00ED3479" w:rsidRPr="003F3E71" w:rsidRDefault="00ED3479" w:rsidP="00BC5E0A">
            <w:pPr>
              <w:pStyle w:val="Tabletext"/>
              <w:rPr>
                <w:rFonts w:eastAsia="Malgun Gothic"/>
                <w:lang w:val="en-GB"/>
              </w:rPr>
            </w:pPr>
            <w:r w:rsidRPr="00D20117">
              <w:rPr>
                <w:lang w:val="en-GB"/>
              </w:rPr>
              <w:t xml:space="preserve">Specify which usage scenarios (eMBB, URLLC, and mMTC) the </w:t>
            </w:r>
            <w:r w:rsidRPr="00D20117">
              <w:rPr>
                <w:rFonts w:eastAsia="SimSun"/>
                <w:lang w:val="en-GB"/>
              </w:rPr>
              <w:t xml:space="preserve">candidate RIT or candidate SRIT can </w:t>
            </w:r>
            <w:r w:rsidRPr="00D20117">
              <w:rPr>
                <w:lang w:val="en-GB"/>
              </w:rPr>
              <w:t>support.</w:t>
            </w:r>
            <w:r w:rsidRPr="003F3E71">
              <w:rPr>
                <w:vertAlign w:val="superscript"/>
                <w:lang w:val="en-GB" w:eastAsia="ko-KR"/>
              </w:rPr>
              <w:t>(1)</w:t>
            </w:r>
          </w:p>
        </w:tc>
        <w:tc>
          <w:tcPr>
            <w:tcW w:w="8096" w:type="dxa"/>
            <w:tcBorders>
              <w:top w:val="single" w:sz="4" w:space="0" w:color="auto"/>
              <w:left w:val="single" w:sz="4" w:space="0" w:color="auto"/>
              <w:bottom w:val="single" w:sz="4" w:space="0" w:color="auto"/>
              <w:right w:val="single" w:sz="4" w:space="0" w:color="auto"/>
            </w:tcBorders>
          </w:tcPr>
          <w:p w:rsidR="00ED3479" w:rsidRPr="00C66B7F" w:rsidRDefault="006C1539" w:rsidP="00BC5E0A">
            <w:pPr>
              <w:pStyle w:val="Tabletext"/>
              <w:rPr>
                <w:rFonts w:eastAsia="MS Mincho"/>
                <w:i/>
                <w:lang w:val="en-GB"/>
              </w:rPr>
            </w:pPr>
            <w:r w:rsidRPr="00C66B7F">
              <w:rPr>
                <w:rFonts w:eastAsia="MS Mincho"/>
                <w:i/>
                <w:lang w:val="en-GB"/>
              </w:rPr>
              <w:t xml:space="preserve">Based on the preliminary evaluation, the </w:t>
            </w:r>
            <w:r w:rsidR="005E498B" w:rsidRPr="00C66B7F">
              <w:rPr>
                <w:rFonts w:eastAsia="MS Mincho"/>
                <w:i/>
                <w:lang w:val="en-GB"/>
              </w:rPr>
              <w:t>NR RIT supports all the three class of usage scenarios (eMBB, URLLC and mMTC)</w:t>
            </w:r>
          </w:p>
        </w:tc>
      </w:tr>
      <w:tr w:rsidR="00ED3479" w:rsidRPr="00D20117" w:rsidTr="00462568">
        <w:tc>
          <w:tcPr>
            <w:tcW w:w="14215" w:type="dxa"/>
            <w:gridSpan w:val="3"/>
            <w:tcBorders>
              <w:top w:val="single" w:sz="4" w:space="0" w:color="auto"/>
              <w:left w:val="nil"/>
              <w:bottom w:val="nil"/>
              <w:right w:val="nil"/>
            </w:tcBorders>
            <w:hideMark/>
          </w:tcPr>
          <w:p w:rsidR="00ED3479" w:rsidRPr="00D20117" w:rsidRDefault="00ED3479" w:rsidP="00BC5E0A">
            <w:pPr>
              <w:pStyle w:val="Tablelegend"/>
              <w:rPr>
                <w:iCs/>
                <w:lang w:val="en-GB"/>
              </w:rPr>
            </w:pPr>
            <w:r w:rsidRPr="00D20117">
              <w:rPr>
                <w:vertAlign w:val="superscript"/>
                <w:lang w:val="en-GB" w:eastAsia="ko-KR"/>
              </w:rPr>
              <w:t>(1)</w:t>
            </w:r>
            <w:r w:rsidRPr="00D20117">
              <w:rPr>
                <w:vertAlign w:val="superscript"/>
                <w:lang w:val="en-GB" w:eastAsia="ko-KR"/>
              </w:rPr>
              <w:tab/>
            </w:r>
            <w:r w:rsidRPr="00D20117">
              <w:rPr>
                <w:lang w:val="en-GB"/>
              </w:rPr>
              <w:t>Refer to the process requirements in IMT-2020/2.</w:t>
            </w:r>
          </w:p>
        </w:tc>
      </w:tr>
    </w:tbl>
    <w:p w:rsidR="00ED3479" w:rsidRDefault="00ED3479" w:rsidP="00ED3479">
      <w:pPr>
        <w:pStyle w:val="Tablefin"/>
      </w:pPr>
    </w:p>
    <w:p w:rsidR="00ED3479" w:rsidRDefault="00ED3479" w:rsidP="00ED3479">
      <w:pPr>
        <w:tabs>
          <w:tab w:val="clear" w:pos="794"/>
          <w:tab w:val="clear" w:pos="1191"/>
          <w:tab w:val="clear" w:pos="1588"/>
          <w:tab w:val="clear" w:pos="1985"/>
        </w:tabs>
        <w:overflowPunct/>
        <w:autoSpaceDE/>
        <w:autoSpaceDN/>
        <w:adjustRightInd/>
        <w:spacing w:before="0" w:after="160" w:line="259" w:lineRule="auto"/>
        <w:jc w:val="left"/>
        <w:textAlignment w:val="auto"/>
        <w:rPr>
          <w:b/>
        </w:rPr>
      </w:pPr>
      <w:r>
        <w:br w:type="page"/>
      </w:r>
    </w:p>
    <w:p w:rsidR="00ED3479" w:rsidRDefault="00ED3479" w:rsidP="00ED3479">
      <w:pPr>
        <w:pStyle w:val="Heading4"/>
        <w:spacing w:after="120"/>
      </w:pPr>
      <w:r>
        <w:t xml:space="preserve">5.2.4.2 </w:t>
      </w:r>
      <w:r>
        <w:tab/>
        <w:t xml:space="preserve">Compliance </w:t>
      </w:r>
      <w:r>
        <w:rPr>
          <w:rStyle w:val="Heading4CharChar"/>
        </w:rPr>
        <w:t>template</w:t>
      </w:r>
      <w:r>
        <w:t xml:space="preserve"> for spectrum</w:t>
      </w:r>
      <w:r>
        <w:rPr>
          <w:position w:val="6"/>
          <w:sz w:val="1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1"/>
        <w:gridCol w:w="8118"/>
      </w:tblGrid>
      <w:tr w:rsidR="00ED3479" w:rsidTr="005B1ED1">
        <w:trPr>
          <w:jc w:val="center"/>
        </w:trPr>
        <w:tc>
          <w:tcPr>
            <w:tcW w:w="1511" w:type="dxa"/>
            <w:tcBorders>
              <w:top w:val="single" w:sz="4" w:space="0" w:color="auto"/>
              <w:left w:val="single" w:sz="4" w:space="0" w:color="auto"/>
              <w:bottom w:val="single" w:sz="4" w:space="0" w:color="auto"/>
              <w:right w:val="single" w:sz="4" w:space="0" w:color="auto"/>
            </w:tcBorders>
          </w:tcPr>
          <w:p w:rsidR="00ED3479" w:rsidRDefault="00ED3479" w:rsidP="00BC5E0A">
            <w:pPr>
              <w:pStyle w:val="Tablehead"/>
              <w:rPr>
                <w:rFonts w:eastAsia="SimSun"/>
              </w:rPr>
            </w:pPr>
          </w:p>
        </w:tc>
        <w:tc>
          <w:tcPr>
            <w:tcW w:w="8118" w:type="dxa"/>
            <w:tcBorders>
              <w:top w:val="single" w:sz="4" w:space="0" w:color="auto"/>
              <w:left w:val="single" w:sz="4" w:space="0" w:color="auto"/>
              <w:bottom w:val="single" w:sz="4" w:space="0" w:color="auto"/>
              <w:right w:val="single" w:sz="4" w:space="0" w:color="auto"/>
            </w:tcBorders>
            <w:hideMark/>
          </w:tcPr>
          <w:p w:rsidR="00ED3479" w:rsidRDefault="00ED3479" w:rsidP="00BC5E0A">
            <w:pPr>
              <w:pStyle w:val="Tablehead"/>
              <w:rPr>
                <w:rFonts w:eastAsia="SimSun"/>
              </w:rPr>
            </w:pPr>
            <w:r>
              <w:rPr>
                <w:rFonts w:eastAsia="SimSun"/>
              </w:rPr>
              <w:t>Spectrum capability requirements</w:t>
            </w:r>
          </w:p>
        </w:tc>
      </w:tr>
      <w:tr w:rsidR="00ED3479" w:rsidRPr="00D20117" w:rsidTr="005B1ED1">
        <w:trPr>
          <w:jc w:val="center"/>
        </w:trPr>
        <w:tc>
          <w:tcPr>
            <w:tcW w:w="1511" w:type="dxa"/>
            <w:tcBorders>
              <w:top w:val="single" w:sz="4" w:space="0" w:color="auto"/>
              <w:left w:val="single" w:sz="4" w:space="0" w:color="auto"/>
              <w:bottom w:val="single" w:sz="4" w:space="0" w:color="auto"/>
              <w:right w:val="single" w:sz="4" w:space="0" w:color="auto"/>
            </w:tcBorders>
            <w:hideMark/>
          </w:tcPr>
          <w:p w:rsidR="00ED3479" w:rsidRDefault="00ED3479" w:rsidP="00BC5E0A">
            <w:pPr>
              <w:pStyle w:val="Tabletext"/>
              <w:rPr>
                <w:rFonts w:eastAsia="SimSun"/>
                <w:b/>
              </w:rPr>
            </w:pPr>
            <w:r>
              <w:rPr>
                <w:b/>
              </w:rPr>
              <w:t>5</w:t>
            </w:r>
            <w:r>
              <w:rPr>
                <w:rFonts w:eastAsia="SimSun"/>
                <w:b/>
              </w:rPr>
              <w:t>.2.4.2.1</w:t>
            </w:r>
          </w:p>
        </w:tc>
        <w:tc>
          <w:tcPr>
            <w:tcW w:w="8118" w:type="dxa"/>
            <w:tcBorders>
              <w:top w:val="single" w:sz="4" w:space="0" w:color="auto"/>
              <w:left w:val="single" w:sz="4" w:space="0" w:color="auto"/>
              <w:bottom w:val="single" w:sz="4" w:space="0" w:color="auto"/>
              <w:right w:val="single" w:sz="4" w:space="0" w:color="auto"/>
            </w:tcBorders>
            <w:hideMark/>
          </w:tcPr>
          <w:p w:rsidR="00ED3479" w:rsidRPr="00D20117" w:rsidRDefault="00ED3479" w:rsidP="00BC5E0A">
            <w:pPr>
              <w:pStyle w:val="Tabletext"/>
              <w:rPr>
                <w:rFonts w:eastAsia="SimSun"/>
                <w:b/>
                <w:lang w:val="en-GB"/>
              </w:rPr>
            </w:pPr>
            <w:r w:rsidRPr="00D20117">
              <w:rPr>
                <w:rFonts w:eastAsia="SimSun"/>
                <w:b/>
                <w:lang w:val="en-GB"/>
              </w:rPr>
              <w:t>Frequency bands</w:t>
            </w:r>
            <w:r w:rsidRPr="00D20117">
              <w:rPr>
                <w:b/>
                <w:lang w:val="en-GB"/>
              </w:rPr>
              <w:t xml:space="preserve"> identified for IMT</w:t>
            </w:r>
          </w:p>
          <w:p w:rsidR="00ED3479" w:rsidRPr="00D20117" w:rsidRDefault="00ED3479" w:rsidP="00BC5E0A">
            <w:pPr>
              <w:pStyle w:val="Tabletext"/>
              <w:rPr>
                <w:rFonts w:eastAsia="SimSun"/>
                <w:lang w:val="en-GB"/>
              </w:rPr>
            </w:pPr>
            <w:r w:rsidRPr="00D20117">
              <w:rPr>
                <w:rFonts w:eastAsia="SimSun"/>
                <w:lang w:val="en-GB"/>
              </w:rPr>
              <w:t>Is the proposal able to utilize at least one</w:t>
            </w:r>
            <w:r w:rsidRPr="00D20117">
              <w:rPr>
                <w:lang w:val="en-GB"/>
              </w:rPr>
              <w:t xml:space="preserve"> frequency</w:t>
            </w:r>
            <w:r w:rsidRPr="00D20117">
              <w:rPr>
                <w:rFonts w:eastAsia="SimSun"/>
                <w:lang w:val="en-GB"/>
              </w:rPr>
              <w:t xml:space="preserve"> band identified for IMT</w:t>
            </w:r>
            <w:r w:rsidRPr="00D20117">
              <w:rPr>
                <w:lang w:val="en-GB"/>
              </w:rPr>
              <w:t xml:space="preserve"> in the ITU Radio Regulations</w:t>
            </w:r>
            <w:r w:rsidRPr="00D20117">
              <w:rPr>
                <w:rFonts w:eastAsia="SimSun"/>
                <w:lang w:val="en-GB"/>
              </w:rPr>
              <w:t xml:space="preserve">?: </w:t>
            </w:r>
            <w:r w:rsidRPr="00D20117">
              <w:rPr>
                <w:rFonts w:eastAsia="SimSun"/>
                <w:lang w:val="en-GB"/>
              </w:rPr>
              <w:tab/>
            </w:r>
            <w:r w:rsidR="00C962CF" w:rsidRPr="006C1539">
              <w:rPr>
                <w:rFonts w:eastAsia="SimSun" w:hint="eastAsia"/>
                <w:lang w:val="en-GB"/>
              </w:rPr>
              <w:sym w:font="Wingdings" w:char="F0FE"/>
            </w:r>
            <w:r w:rsidRPr="00D20117">
              <w:rPr>
                <w:rFonts w:eastAsia="SimSun"/>
                <w:lang w:val="en-GB"/>
              </w:rPr>
              <w:t xml:space="preserve"> YES / </w:t>
            </w:r>
            <w:r>
              <w:rPr>
                <w:rFonts w:eastAsia="SimSun"/>
              </w:rPr>
              <w:sym w:font="Times New Roman" w:char="F072"/>
            </w:r>
            <w:r w:rsidRPr="00D20117">
              <w:rPr>
                <w:rFonts w:eastAsia="SimSun"/>
                <w:lang w:val="en-GB"/>
              </w:rPr>
              <w:t xml:space="preserve"> NO</w:t>
            </w:r>
          </w:p>
          <w:p w:rsidR="00ED3479" w:rsidRDefault="00ED3479" w:rsidP="00BC5E0A">
            <w:pPr>
              <w:pStyle w:val="Tabletext"/>
              <w:rPr>
                <w:rFonts w:eastAsia="SimSun"/>
                <w:lang w:val="en-GB"/>
              </w:rPr>
            </w:pPr>
            <w:r w:rsidRPr="00D20117">
              <w:rPr>
                <w:rFonts w:eastAsia="SimSun"/>
                <w:lang w:val="en-GB"/>
              </w:rPr>
              <w:t>Specify in which band(s) the candidate RIT or candidate SRIT can be deployed.</w:t>
            </w:r>
          </w:p>
          <w:p w:rsidR="00E94741" w:rsidRDefault="00E94741" w:rsidP="00BC5E0A">
            <w:pPr>
              <w:pStyle w:val="Tabletext"/>
              <w:rPr>
                <w:rFonts w:eastAsia="SimSun"/>
                <w:lang w:val="en-GB"/>
              </w:rPr>
            </w:pPr>
          </w:p>
          <w:p w:rsidR="00EB1AEC" w:rsidRPr="00C66B7F" w:rsidRDefault="00E94741" w:rsidP="0001417C">
            <w:pPr>
              <w:pStyle w:val="Tabletext"/>
              <w:rPr>
                <w:rFonts w:eastAsia="SimSun"/>
                <w:i/>
                <w:lang w:val="en-GB"/>
              </w:rPr>
            </w:pPr>
            <w:r w:rsidRPr="00C66B7F">
              <w:rPr>
                <w:rFonts w:eastAsia="SimSun"/>
                <w:i/>
                <w:lang w:val="en-GB"/>
              </w:rPr>
              <w:t xml:space="preserve">The </w:t>
            </w:r>
            <w:r w:rsidR="007D778C" w:rsidRPr="00C66B7F">
              <w:rPr>
                <w:rFonts w:eastAsia="SimSun"/>
                <w:i/>
                <w:lang w:val="en-GB"/>
              </w:rPr>
              <w:t>propo</w:t>
            </w:r>
            <w:r w:rsidR="0094189C" w:rsidRPr="00C66B7F">
              <w:rPr>
                <w:rFonts w:eastAsia="SimSun"/>
                <w:i/>
                <w:lang w:val="en-GB"/>
              </w:rPr>
              <w:t xml:space="preserve">nent </w:t>
            </w:r>
            <w:r w:rsidR="002D692D" w:rsidRPr="00C66B7F">
              <w:rPr>
                <w:rFonts w:eastAsia="SimSun"/>
                <w:i/>
                <w:lang w:val="en-GB"/>
              </w:rPr>
              <w:t xml:space="preserve">has </w:t>
            </w:r>
            <w:r w:rsidR="0094189C" w:rsidRPr="00C66B7F">
              <w:rPr>
                <w:rFonts w:eastAsia="SimSun"/>
                <w:i/>
                <w:lang w:val="en-GB"/>
              </w:rPr>
              <w:t>identifie</w:t>
            </w:r>
            <w:r w:rsidR="002D692D" w:rsidRPr="00C66B7F">
              <w:rPr>
                <w:rFonts w:eastAsia="SimSun"/>
                <w:i/>
                <w:lang w:val="en-GB"/>
              </w:rPr>
              <w:t>d</w:t>
            </w:r>
            <w:r w:rsidR="0094189C" w:rsidRPr="00C66B7F">
              <w:rPr>
                <w:rFonts w:eastAsia="SimSun"/>
                <w:i/>
                <w:lang w:val="en-GB"/>
              </w:rPr>
              <w:t xml:space="preserve"> support for the following </w:t>
            </w:r>
            <w:r w:rsidR="00D85A12" w:rsidRPr="00C66B7F">
              <w:rPr>
                <w:rFonts w:eastAsia="SimSun"/>
                <w:i/>
                <w:lang w:val="en-GB"/>
              </w:rPr>
              <w:t>bands in their submission.</w:t>
            </w:r>
          </w:p>
          <w:p w:rsidR="002D692D" w:rsidRPr="0001417C" w:rsidRDefault="002D692D" w:rsidP="0001417C">
            <w:pPr>
              <w:pStyle w:val="Tabletext"/>
              <w:rPr>
                <w:rFonts w:eastAsia="SimSun"/>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607"/>
              <w:gridCol w:w="2806"/>
              <w:gridCol w:w="1286"/>
            </w:tblGrid>
            <w:tr w:rsidR="00EB1AEC" w:rsidRPr="00B04564" w:rsidTr="00762B81">
              <w:trPr>
                <w:trHeight w:val="704"/>
                <w:jc w:val="center"/>
              </w:trPr>
              <w:tc>
                <w:tcPr>
                  <w:tcW w:w="1037" w:type="dxa"/>
                  <w:shd w:val="clear" w:color="auto" w:fill="auto"/>
                </w:tcPr>
                <w:p w:rsidR="00EB1AEC" w:rsidRPr="00B04564" w:rsidRDefault="00EB1AEC" w:rsidP="00EB1AEC">
                  <w:pPr>
                    <w:pStyle w:val="TAH"/>
                    <w:rPr>
                      <w:rFonts w:cs="Arial"/>
                    </w:rPr>
                  </w:pPr>
                  <w:r w:rsidRPr="00B04564">
                    <w:rPr>
                      <w:rFonts w:cs="Arial"/>
                    </w:rPr>
                    <w:t xml:space="preserve">NR </w:t>
                  </w:r>
                  <w:r w:rsidRPr="00B04564">
                    <w:rPr>
                      <w:rFonts w:cs="Arial"/>
                      <w:i/>
                    </w:rPr>
                    <w:t>operating band</w:t>
                  </w:r>
                </w:p>
              </w:tc>
              <w:tc>
                <w:tcPr>
                  <w:tcW w:w="2607" w:type="dxa"/>
                  <w:shd w:val="clear" w:color="auto" w:fill="auto"/>
                </w:tcPr>
                <w:p w:rsidR="00EB1AEC" w:rsidRPr="00B04564" w:rsidRDefault="00EB1AEC" w:rsidP="00EB1AEC">
                  <w:pPr>
                    <w:pStyle w:val="TAH"/>
                    <w:rPr>
                      <w:rFonts w:cs="Arial"/>
                    </w:rPr>
                  </w:pPr>
                  <w:r w:rsidRPr="00B04564">
                    <w:rPr>
                      <w:rFonts w:cs="Arial"/>
                    </w:rPr>
                    <w:t xml:space="preserve">Uplink (UL) </w:t>
                  </w:r>
                  <w:r w:rsidRPr="00B04564">
                    <w:rPr>
                      <w:rFonts w:cs="Arial"/>
                      <w:i/>
                    </w:rPr>
                    <w:t>operating band</w:t>
                  </w:r>
                  <w:r w:rsidRPr="00B04564">
                    <w:rPr>
                      <w:rFonts w:cs="Arial"/>
                    </w:rPr>
                    <w:br/>
                    <w:t>BS receive / UE transmit</w:t>
                  </w:r>
                </w:p>
                <w:p w:rsidR="00EB1AEC" w:rsidRPr="00B04564" w:rsidRDefault="00EB1AEC" w:rsidP="00EB1AEC">
                  <w:pPr>
                    <w:pStyle w:val="TAH"/>
                    <w:rPr>
                      <w:rFonts w:cs="Arial"/>
                    </w:rPr>
                  </w:pPr>
                  <w:r w:rsidRPr="00B04564">
                    <w:rPr>
                      <w:rFonts w:cs="Arial"/>
                    </w:rPr>
                    <w:t>F</w:t>
                  </w:r>
                  <w:r w:rsidRPr="00B04564">
                    <w:rPr>
                      <w:rFonts w:cs="Arial"/>
                      <w:vertAlign w:val="subscript"/>
                    </w:rPr>
                    <w:t>UL_low</w:t>
                  </w:r>
                  <w:r w:rsidRPr="00B04564">
                    <w:rPr>
                      <w:rFonts w:cs="Arial"/>
                    </w:rPr>
                    <w:t xml:space="preserve">   –  F</w:t>
                  </w:r>
                  <w:r w:rsidRPr="00B04564">
                    <w:rPr>
                      <w:rFonts w:cs="Arial"/>
                      <w:vertAlign w:val="subscript"/>
                    </w:rPr>
                    <w:t>UL_high</w:t>
                  </w:r>
                </w:p>
              </w:tc>
              <w:tc>
                <w:tcPr>
                  <w:tcW w:w="2806" w:type="dxa"/>
                  <w:shd w:val="clear" w:color="auto" w:fill="auto"/>
                </w:tcPr>
                <w:p w:rsidR="00EB1AEC" w:rsidRPr="00B04564" w:rsidRDefault="00EB1AEC" w:rsidP="00EB1AEC">
                  <w:pPr>
                    <w:pStyle w:val="TAH"/>
                    <w:rPr>
                      <w:rFonts w:cs="Arial"/>
                    </w:rPr>
                  </w:pPr>
                  <w:r w:rsidRPr="00B04564">
                    <w:rPr>
                      <w:rFonts w:cs="Arial"/>
                    </w:rPr>
                    <w:t xml:space="preserve">Downlink (DL) </w:t>
                  </w:r>
                  <w:r w:rsidRPr="00B04564">
                    <w:rPr>
                      <w:rFonts w:cs="Arial"/>
                      <w:i/>
                    </w:rPr>
                    <w:t>operating band</w:t>
                  </w:r>
                  <w:r w:rsidRPr="00B04564">
                    <w:rPr>
                      <w:rFonts w:cs="Arial"/>
                    </w:rPr>
                    <w:br/>
                    <w:t>BS transmit / UE receive</w:t>
                  </w:r>
                </w:p>
                <w:p w:rsidR="00EB1AEC" w:rsidRPr="00B04564" w:rsidRDefault="00EB1AEC" w:rsidP="00EB1AEC">
                  <w:pPr>
                    <w:pStyle w:val="TAH"/>
                    <w:rPr>
                      <w:rFonts w:cs="Arial"/>
                    </w:rPr>
                  </w:pPr>
                  <w:r w:rsidRPr="00B04564">
                    <w:rPr>
                      <w:rFonts w:cs="Arial"/>
                    </w:rPr>
                    <w:t>F</w:t>
                  </w:r>
                  <w:r w:rsidRPr="00B04564">
                    <w:rPr>
                      <w:rFonts w:cs="Arial"/>
                      <w:vertAlign w:val="subscript"/>
                    </w:rPr>
                    <w:t>DL_low</w:t>
                  </w:r>
                  <w:r w:rsidRPr="00B04564">
                    <w:rPr>
                      <w:rFonts w:cs="Arial"/>
                    </w:rPr>
                    <w:t xml:space="preserve">   –  F</w:t>
                  </w:r>
                  <w:r w:rsidRPr="00B04564">
                    <w:rPr>
                      <w:rFonts w:cs="Arial"/>
                      <w:vertAlign w:val="subscript"/>
                    </w:rPr>
                    <w:t>DL_high</w:t>
                  </w:r>
                </w:p>
              </w:tc>
              <w:tc>
                <w:tcPr>
                  <w:tcW w:w="1286" w:type="dxa"/>
                  <w:shd w:val="clear" w:color="auto" w:fill="auto"/>
                </w:tcPr>
                <w:p w:rsidR="00EB1AEC" w:rsidRPr="00B04564" w:rsidRDefault="00EB1AEC" w:rsidP="00EB1AEC">
                  <w:pPr>
                    <w:pStyle w:val="TAH"/>
                    <w:rPr>
                      <w:rFonts w:cs="Arial"/>
                    </w:rPr>
                  </w:pPr>
                  <w:r w:rsidRPr="00B04564">
                    <w:rPr>
                      <w:rFonts w:cs="Arial"/>
                    </w:rPr>
                    <w:t>Duplex Mode</w:t>
                  </w:r>
                </w:p>
              </w:tc>
            </w:tr>
            <w:tr w:rsidR="00EB1AEC" w:rsidRPr="00B04564" w:rsidTr="00762B81">
              <w:trPr>
                <w:jc w:val="center"/>
              </w:trPr>
              <w:tc>
                <w:tcPr>
                  <w:tcW w:w="1037" w:type="dxa"/>
                  <w:shd w:val="clear" w:color="auto" w:fill="auto"/>
                </w:tcPr>
                <w:p w:rsidR="00EB1AEC" w:rsidRPr="0005696B" w:rsidRDefault="00EB1AEC" w:rsidP="00EB1AEC">
                  <w:pPr>
                    <w:pStyle w:val="TAC"/>
                    <w:rPr>
                      <w:color w:val="4472C4" w:themeColor="accent1"/>
                    </w:rPr>
                  </w:pPr>
                  <w:r w:rsidRPr="0005696B">
                    <w:rPr>
                      <w:color w:val="4472C4" w:themeColor="accent1"/>
                    </w:rPr>
                    <w:t>n1</w:t>
                  </w:r>
                </w:p>
              </w:tc>
              <w:tc>
                <w:tcPr>
                  <w:tcW w:w="2607" w:type="dxa"/>
                  <w:shd w:val="clear" w:color="auto" w:fill="auto"/>
                </w:tcPr>
                <w:p w:rsidR="00EB1AEC" w:rsidRPr="0005696B" w:rsidRDefault="00EB1AEC" w:rsidP="00EB1AEC">
                  <w:pPr>
                    <w:pStyle w:val="TAC"/>
                    <w:rPr>
                      <w:color w:val="4472C4" w:themeColor="accent1"/>
                    </w:rPr>
                  </w:pPr>
                  <w:r w:rsidRPr="0005696B">
                    <w:rPr>
                      <w:color w:val="4472C4" w:themeColor="accent1"/>
                    </w:rPr>
                    <w:t>1920 MHz – 1980 MHz</w:t>
                  </w:r>
                </w:p>
              </w:tc>
              <w:tc>
                <w:tcPr>
                  <w:tcW w:w="2806" w:type="dxa"/>
                  <w:shd w:val="clear" w:color="auto" w:fill="auto"/>
                </w:tcPr>
                <w:p w:rsidR="00EB1AEC" w:rsidRPr="0005696B" w:rsidRDefault="00EB1AEC" w:rsidP="00EB1AEC">
                  <w:pPr>
                    <w:pStyle w:val="TAC"/>
                    <w:rPr>
                      <w:color w:val="4472C4" w:themeColor="accent1"/>
                    </w:rPr>
                  </w:pPr>
                  <w:r w:rsidRPr="0005696B">
                    <w:rPr>
                      <w:color w:val="4472C4" w:themeColor="accent1"/>
                    </w:rPr>
                    <w:t>2110 MHz – 2170 MHz</w:t>
                  </w:r>
                </w:p>
              </w:tc>
              <w:tc>
                <w:tcPr>
                  <w:tcW w:w="1286" w:type="dxa"/>
                  <w:shd w:val="clear" w:color="auto" w:fill="auto"/>
                </w:tcPr>
                <w:p w:rsidR="00EB1AEC" w:rsidRPr="0005696B" w:rsidRDefault="00EB1AEC" w:rsidP="00EB1AEC">
                  <w:pPr>
                    <w:pStyle w:val="TAC"/>
                    <w:rPr>
                      <w:color w:val="4472C4" w:themeColor="accent1"/>
                    </w:rPr>
                  </w:pPr>
                  <w:r w:rsidRPr="0005696B">
                    <w:rPr>
                      <w:color w:val="4472C4" w:themeColor="accent1"/>
                    </w:rPr>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n2</w:t>
                  </w:r>
                </w:p>
              </w:tc>
              <w:tc>
                <w:tcPr>
                  <w:tcW w:w="2607" w:type="dxa"/>
                  <w:shd w:val="clear" w:color="auto" w:fill="auto"/>
                </w:tcPr>
                <w:p w:rsidR="00EB1AEC" w:rsidRPr="00B04564" w:rsidRDefault="00EB1AEC" w:rsidP="00EB1AEC">
                  <w:pPr>
                    <w:pStyle w:val="TAC"/>
                  </w:pPr>
                  <w:r w:rsidRPr="00B04564">
                    <w:t>1850 MHz – 1910 MHz</w:t>
                  </w:r>
                </w:p>
              </w:tc>
              <w:tc>
                <w:tcPr>
                  <w:tcW w:w="2806" w:type="dxa"/>
                  <w:shd w:val="clear" w:color="auto" w:fill="auto"/>
                </w:tcPr>
                <w:p w:rsidR="00EB1AEC" w:rsidRPr="00B04564" w:rsidRDefault="00EB1AEC" w:rsidP="00EB1AEC">
                  <w:pPr>
                    <w:pStyle w:val="TAC"/>
                  </w:pPr>
                  <w:r w:rsidRPr="00B04564">
                    <w:t>1930 MHz – 1990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05696B" w:rsidRDefault="00EB1AEC" w:rsidP="00EB1AEC">
                  <w:pPr>
                    <w:pStyle w:val="TAC"/>
                    <w:rPr>
                      <w:color w:val="4472C4" w:themeColor="accent1"/>
                    </w:rPr>
                  </w:pPr>
                  <w:r w:rsidRPr="0005696B">
                    <w:rPr>
                      <w:color w:val="4472C4" w:themeColor="accent1"/>
                    </w:rPr>
                    <w:t>n3</w:t>
                  </w:r>
                </w:p>
              </w:tc>
              <w:tc>
                <w:tcPr>
                  <w:tcW w:w="2607" w:type="dxa"/>
                  <w:shd w:val="clear" w:color="auto" w:fill="auto"/>
                </w:tcPr>
                <w:p w:rsidR="00EB1AEC" w:rsidRPr="0005696B" w:rsidRDefault="00EB1AEC" w:rsidP="00EB1AEC">
                  <w:pPr>
                    <w:pStyle w:val="TAC"/>
                    <w:rPr>
                      <w:color w:val="4472C4" w:themeColor="accent1"/>
                    </w:rPr>
                  </w:pPr>
                  <w:r w:rsidRPr="0005696B">
                    <w:rPr>
                      <w:color w:val="4472C4" w:themeColor="accent1"/>
                    </w:rPr>
                    <w:t>1710 MHz – 1785 MHz</w:t>
                  </w:r>
                </w:p>
              </w:tc>
              <w:tc>
                <w:tcPr>
                  <w:tcW w:w="2806" w:type="dxa"/>
                  <w:shd w:val="clear" w:color="auto" w:fill="auto"/>
                </w:tcPr>
                <w:p w:rsidR="00EB1AEC" w:rsidRPr="0005696B" w:rsidRDefault="00EB1AEC" w:rsidP="00EB1AEC">
                  <w:pPr>
                    <w:pStyle w:val="TAC"/>
                    <w:rPr>
                      <w:color w:val="4472C4" w:themeColor="accent1"/>
                    </w:rPr>
                  </w:pPr>
                  <w:r w:rsidRPr="0005696B">
                    <w:rPr>
                      <w:color w:val="4472C4" w:themeColor="accent1"/>
                    </w:rPr>
                    <w:t>1805 MHz – 1880 MHz</w:t>
                  </w:r>
                </w:p>
              </w:tc>
              <w:tc>
                <w:tcPr>
                  <w:tcW w:w="1286" w:type="dxa"/>
                  <w:shd w:val="clear" w:color="auto" w:fill="auto"/>
                </w:tcPr>
                <w:p w:rsidR="00EB1AEC" w:rsidRPr="0005696B" w:rsidRDefault="00EB1AEC" w:rsidP="00EB1AEC">
                  <w:pPr>
                    <w:pStyle w:val="TAC"/>
                    <w:rPr>
                      <w:color w:val="4472C4" w:themeColor="accent1"/>
                    </w:rPr>
                  </w:pPr>
                  <w:r w:rsidRPr="0005696B">
                    <w:rPr>
                      <w:color w:val="4472C4" w:themeColor="accent1"/>
                    </w:rPr>
                    <w:t>FDD</w:t>
                  </w:r>
                </w:p>
              </w:tc>
            </w:tr>
            <w:tr w:rsidR="00EB1AEC" w:rsidRPr="00B04564" w:rsidTr="00762B81">
              <w:trPr>
                <w:jc w:val="center"/>
              </w:trPr>
              <w:tc>
                <w:tcPr>
                  <w:tcW w:w="1037" w:type="dxa"/>
                  <w:shd w:val="clear" w:color="auto" w:fill="auto"/>
                </w:tcPr>
                <w:p w:rsidR="00EB1AEC" w:rsidRPr="0005696B" w:rsidRDefault="00EB1AEC" w:rsidP="00EB1AEC">
                  <w:pPr>
                    <w:pStyle w:val="TAC"/>
                    <w:rPr>
                      <w:color w:val="4472C4" w:themeColor="accent1"/>
                    </w:rPr>
                  </w:pPr>
                  <w:r w:rsidRPr="0005696B">
                    <w:rPr>
                      <w:color w:val="4472C4" w:themeColor="accent1"/>
                    </w:rPr>
                    <w:t>n5</w:t>
                  </w:r>
                </w:p>
              </w:tc>
              <w:tc>
                <w:tcPr>
                  <w:tcW w:w="2607" w:type="dxa"/>
                  <w:shd w:val="clear" w:color="auto" w:fill="auto"/>
                </w:tcPr>
                <w:p w:rsidR="00EB1AEC" w:rsidRPr="0005696B" w:rsidRDefault="00EB1AEC" w:rsidP="00EB1AEC">
                  <w:pPr>
                    <w:pStyle w:val="TAC"/>
                    <w:rPr>
                      <w:color w:val="4472C4" w:themeColor="accent1"/>
                    </w:rPr>
                  </w:pPr>
                  <w:r w:rsidRPr="0005696B">
                    <w:rPr>
                      <w:color w:val="4472C4" w:themeColor="accent1"/>
                    </w:rPr>
                    <w:t>824 MHz – 849 MHz</w:t>
                  </w:r>
                </w:p>
              </w:tc>
              <w:tc>
                <w:tcPr>
                  <w:tcW w:w="2806" w:type="dxa"/>
                  <w:shd w:val="clear" w:color="auto" w:fill="auto"/>
                </w:tcPr>
                <w:p w:rsidR="00EB1AEC" w:rsidRPr="0005696B" w:rsidRDefault="00EB1AEC" w:rsidP="00EB1AEC">
                  <w:pPr>
                    <w:pStyle w:val="TAC"/>
                    <w:rPr>
                      <w:color w:val="4472C4" w:themeColor="accent1"/>
                    </w:rPr>
                  </w:pPr>
                  <w:r w:rsidRPr="0005696B">
                    <w:rPr>
                      <w:color w:val="4472C4" w:themeColor="accent1"/>
                    </w:rPr>
                    <w:t>869 MHz – 894 MHz</w:t>
                  </w:r>
                </w:p>
              </w:tc>
              <w:tc>
                <w:tcPr>
                  <w:tcW w:w="1286" w:type="dxa"/>
                  <w:shd w:val="clear" w:color="auto" w:fill="auto"/>
                </w:tcPr>
                <w:p w:rsidR="00EB1AEC" w:rsidRPr="0005696B" w:rsidRDefault="00EB1AEC" w:rsidP="00EB1AEC">
                  <w:pPr>
                    <w:pStyle w:val="TAC"/>
                    <w:rPr>
                      <w:color w:val="4472C4" w:themeColor="accent1"/>
                    </w:rPr>
                  </w:pPr>
                  <w:r w:rsidRPr="0005696B">
                    <w:rPr>
                      <w:color w:val="4472C4" w:themeColor="accent1"/>
                    </w:rPr>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n7</w:t>
                  </w:r>
                </w:p>
              </w:tc>
              <w:tc>
                <w:tcPr>
                  <w:tcW w:w="2607" w:type="dxa"/>
                  <w:shd w:val="clear" w:color="auto" w:fill="auto"/>
                </w:tcPr>
                <w:p w:rsidR="00EB1AEC" w:rsidRPr="00B04564" w:rsidRDefault="00EB1AEC" w:rsidP="00EB1AEC">
                  <w:pPr>
                    <w:pStyle w:val="TAC"/>
                  </w:pPr>
                  <w:r w:rsidRPr="00B04564">
                    <w:t>2500 MHz – 2570 MHz</w:t>
                  </w:r>
                </w:p>
              </w:tc>
              <w:tc>
                <w:tcPr>
                  <w:tcW w:w="2806" w:type="dxa"/>
                  <w:shd w:val="clear" w:color="auto" w:fill="auto"/>
                </w:tcPr>
                <w:p w:rsidR="00EB1AEC" w:rsidRPr="00B04564" w:rsidRDefault="00EB1AEC" w:rsidP="00EB1AEC">
                  <w:pPr>
                    <w:pStyle w:val="TAC"/>
                  </w:pPr>
                  <w:r w:rsidRPr="00B04564">
                    <w:t>2620 MHz – 2690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w:t>
                  </w:r>
                </w:p>
              </w:tc>
              <w:tc>
                <w:tcPr>
                  <w:tcW w:w="2607" w:type="dxa"/>
                  <w:shd w:val="clear" w:color="auto" w:fill="auto"/>
                </w:tcPr>
                <w:p w:rsidR="00EB1AEC" w:rsidRPr="00B04564" w:rsidRDefault="00EB1AEC" w:rsidP="00EB1AEC">
                  <w:pPr>
                    <w:pStyle w:val="TAC"/>
                  </w:pPr>
                  <w:r w:rsidRPr="00B04564">
                    <w:t>880 MHz – 915 MHz</w:t>
                  </w:r>
                </w:p>
              </w:tc>
              <w:tc>
                <w:tcPr>
                  <w:tcW w:w="2806" w:type="dxa"/>
                  <w:shd w:val="clear" w:color="auto" w:fill="auto"/>
                </w:tcPr>
                <w:p w:rsidR="00EB1AEC" w:rsidRPr="00B04564" w:rsidRDefault="00EB1AEC" w:rsidP="00EB1AEC">
                  <w:pPr>
                    <w:pStyle w:val="TAC"/>
                  </w:pPr>
                  <w:r w:rsidRPr="00B04564">
                    <w:t>925 MHz – 960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n12</w:t>
                  </w:r>
                </w:p>
              </w:tc>
              <w:tc>
                <w:tcPr>
                  <w:tcW w:w="2607" w:type="dxa"/>
                  <w:shd w:val="clear" w:color="auto" w:fill="auto"/>
                </w:tcPr>
                <w:p w:rsidR="00EB1AEC" w:rsidRPr="00B04564" w:rsidRDefault="00EB1AEC" w:rsidP="00EB1AEC">
                  <w:pPr>
                    <w:pStyle w:val="TAC"/>
                  </w:pPr>
                  <w:r w:rsidRPr="00B04564">
                    <w:rPr>
                      <w:rFonts w:cs="Arial"/>
                    </w:rPr>
                    <w:t>699 MHz</w:t>
                  </w:r>
                  <w:r w:rsidRPr="00B04564">
                    <w:t xml:space="preserve"> – </w:t>
                  </w:r>
                  <w:r w:rsidRPr="00B04564">
                    <w:rPr>
                      <w:rFonts w:cs="Arial"/>
                    </w:rPr>
                    <w:t>716 MHz</w:t>
                  </w:r>
                </w:p>
              </w:tc>
              <w:tc>
                <w:tcPr>
                  <w:tcW w:w="2806" w:type="dxa"/>
                  <w:shd w:val="clear" w:color="auto" w:fill="auto"/>
                </w:tcPr>
                <w:p w:rsidR="00EB1AEC" w:rsidRPr="00B04564" w:rsidRDefault="00EB1AEC" w:rsidP="00EB1AEC">
                  <w:pPr>
                    <w:pStyle w:val="TAC"/>
                  </w:pPr>
                  <w:r w:rsidRPr="00B04564">
                    <w:rPr>
                      <w:rFonts w:cs="Arial"/>
                    </w:rPr>
                    <w:t>729 MHz</w:t>
                  </w:r>
                  <w:r w:rsidRPr="00B04564">
                    <w:t xml:space="preserve"> – 7</w:t>
                  </w:r>
                  <w:r w:rsidRPr="00B04564">
                    <w:rPr>
                      <w:rFonts w:cs="Arial"/>
                    </w:rPr>
                    <w:t>46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n20</w:t>
                  </w:r>
                </w:p>
              </w:tc>
              <w:tc>
                <w:tcPr>
                  <w:tcW w:w="2607" w:type="dxa"/>
                  <w:shd w:val="clear" w:color="auto" w:fill="auto"/>
                </w:tcPr>
                <w:p w:rsidR="00EB1AEC" w:rsidRPr="00B04564" w:rsidRDefault="00EB1AEC" w:rsidP="00EB1AEC">
                  <w:pPr>
                    <w:pStyle w:val="TAC"/>
                  </w:pPr>
                  <w:r w:rsidRPr="00B04564">
                    <w:t>832 MHz – 862 MHz</w:t>
                  </w:r>
                </w:p>
              </w:tc>
              <w:tc>
                <w:tcPr>
                  <w:tcW w:w="2806" w:type="dxa"/>
                  <w:shd w:val="clear" w:color="auto" w:fill="auto"/>
                </w:tcPr>
                <w:p w:rsidR="00EB1AEC" w:rsidRPr="00B04564" w:rsidRDefault="00EB1AEC" w:rsidP="00EB1AEC">
                  <w:pPr>
                    <w:pStyle w:val="TAC"/>
                  </w:pPr>
                  <w:r w:rsidRPr="00B04564">
                    <w:t>791 MHz – 821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n25</w:t>
                  </w:r>
                </w:p>
              </w:tc>
              <w:tc>
                <w:tcPr>
                  <w:tcW w:w="2607" w:type="dxa"/>
                  <w:shd w:val="clear" w:color="auto" w:fill="auto"/>
                </w:tcPr>
                <w:p w:rsidR="00EB1AEC" w:rsidRPr="00B04564" w:rsidRDefault="00EB1AEC" w:rsidP="00EB1AEC">
                  <w:pPr>
                    <w:pStyle w:val="TAC"/>
                  </w:pPr>
                  <w:r w:rsidRPr="00B04564">
                    <w:t>1850 MHz – 1915 MHz</w:t>
                  </w:r>
                </w:p>
              </w:tc>
              <w:tc>
                <w:tcPr>
                  <w:tcW w:w="2806" w:type="dxa"/>
                  <w:shd w:val="clear" w:color="auto" w:fill="auto"/>
                </w:tcPr>
                <w:p w:rsidR="00EB1AEC" w:rsidRPr="00B04564" w:rsidRDefault="00EB1AEC" w:rsidP="00EB1AEC">
                  <w:pPr>
                    <w:pStyle w:val="TAC"/>
                  </w:pPr>
                  <w:r w:rsidRPr="00B04564">
                    <w:t>1930 MHz – 1995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n28</w:t>
                  </w:r>
                </w:p>
              </w:tc>
              <w:tc>
                <w:tcPr>
                  <w:tcW w:w="2607" w:type="dxa"/>
                  <w:shd w:val="clear" w:color="auto" w:fill="auto"/>
                </w:tcPr>
                <w:p w:rsidR="00EB1AEC" w:rsidRPr="00B04564" w:rsidRDefault="00EB1AEC" w:rsidP="00EB1AEC">
                  <w:pPr>
                    <w:pStyle w:val="TAC"/>
                  </w:pPr>
                  <w:r w:rsidRPr="00B04564">
                    <w:t>703 MHz – 748 MHz</w:t>
                  </w:r>
                </w:p>
              </w:tc>
              <w:tc>
                <w:tcPr>
                  <w:tcW w:w="2806" w:type="dxa"/>
                  <w:shd w:val="clear" w:color="auto" w:fill="auto"/>
                </w:tcPr>
                <w:p w:rsidR="00EB1AEC" w:rsidRPr="00B04564" w:rsidRDefault="00EB1AEC" w:rsidP="00EB1AEC">
                  <w:pPr>
                    <w:pStyle w:val="TAC"/>
                  </w:pPr>
                  <w:r w:rsidRPr="00B04564">
                    <w:t>758 MHz – 803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rPr>
                      <w:rFonts w:eastAsia="SimSun" w:hint="eastAsia"/>
                      <w:lang w:val="en-US" w:eastAsia="zh-CN"/>
                    </w:rPr>
                    <w:t>n34</w:t>
                  </w:r>
                </w:p>
              </w:tc>
              <w:tc>
                <w:tcPr>
                  <w:tcW w:w="2607" w:type="dxa"/>
                  <w:shd w:val="clear" w:color="auto" w:fill="auto"/>
                </w:tcPr>
                <w:p w:rsidR="00EB1AEC" w:rsidRPr="00B04564" w:rsidRDefault="00EB1AEC" w:rsidP="00EB1AEC">
                  <w:pPr>
                    <w:pStyle w:val="TAC"/>
                  </w:pPr>
                  <w:r w:rsidRPr="00B04564">
                    <w:rPr>
                      <w:rFonts w:eastAsia="SimSun" w:hint="eastAsia"/>
                      <w:lang w:val="en-US" w:eastAsia="zh-CN"/>
                    </w:rPr>
                    <w:t>2010</w:t>
                  </w:r>
                  <w:r w:rsidRPr="00B04564">
                    <w:t xml:space="preserve"> MHz – </w:t>
                  </w:r>
                  <w:r w:rsidRPr="00B04564">
                    <w:rPr>
                      <w:rFonts w:eastAsia="SimSun" w:hint="eastAsia"/>
                      <w:lang w:val="en-US" w:eastAsia="zh-CN"/>
                    </w:rPr>
                    <w:t>2025</w:t>
                  </w:r>
                  <w:r w:rsidRPr="00B04564">
                    <w:t xml:space="preserve"> MHz</w:t>
                  </w:r>
                </w:p>
              </w:tc>
              <w:tc>
                <w:tcPr>
                  <w:tcW w:w="2806" w:type="dxa"/>
                  <w:shd w:val="clear" w:color="auto" w:fill="auto"/>
                </w:tcPr>
                <w:p w:rsidR="00EB1AEC" w:rsidRPr="00B04564" w:rsidRDefault="00EB1AEC" w:rsidP="00EB1AEC">
                  <w:pPr>
                    <w:pStyle w:val="TAC"/>
                  </w:pPr>
                  <w:r w:rsidRPr="00B04564">
                    <w:rPr>
                      <w:rFonts w:eastAsia="SimSun" w:hint="eastAsia"/>
                      <w:lang w:val="en-US" w:eastAsia="zh-CN"/>
                    </w:rPr>
                    <w:t>2010</w:t>
                  </w:r>
                  <w:r w:rsidRPr="00B04564">
                    <w:t xml:space="preserve"> MHz – </w:t>
                  </w:r>
                  <w:r w:rsidRPr="00B04564">
                    <w:rPr>
                      <w:rFonts w:eastAsia="SimSun" w:hint="eastAsia"/>
                      <w:lang w:val="en-US" w:eastAsia="zh-CN"/>
                    </w:rPr>
                    <w:t>2025</w:t>
                  </w:r>
                  <w:r w:rsidRPr="00B04564">
                    <w:t xml:space="preserve"> MHz</w:t>
                  </w:r>
                </w:p>
              </w:tc>
              <w:tc>
                <w:tcPr>
                  <w:tcW w:w="1286" w:type="dxa"/>
                  <w:shd w:val="clear" w:color="auto" w:fill="auto"/>
                </w:tcPr>
                <w:p w:rsidR="00EB1AEC" w:rsidRPr="00B04564" w:rsidRDefault="00EB1AEC" w:rsidP="00EB1AEC">
                  <w:pPr>
                    <w:pStyle w:val="TAC"/>
                  </w:pPr>
                  <w:r w:rsidRPr="00B04564">
                    <w:rPr>
                      <w:rFonts w:eastAsia="SimSun" w:hint="eastAsia"/>
                      <w:lang w:val="en-US" w:eastAsia="zh-CN"/>
                    </w:rPr>
                    <w:t>TDD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n38</w:t>
                  </w:r>
                </w:p>
              </w:tc>
              <w:tc>
                <w:tcPr>
                  <w:tcW w:w="2607" w:type="dxa"/>
                  <w:shd w:val="clear" w:color="auto" w:fill="auto"/>
                </w:tcPr>
                <w:p w:rsidR="00EB1AEC" w:rsidRPr="00B04564" w:rsidRDefault="00EB1AEC" w:rsidP="00EB1AEC">
                  <w:pPr>
                    <w:pStyle w:val="TAC"/>
                  </w:pPr>
                  <w:r w:rsidRPr="00B04564">
                    <w:t>2570 MHz – 2620 MHz</w:t>
                  </w:r>
                </w:p>
              </w:tc>
              <w:tc>
                <w:tcPr>
                  <w:tcW w:w="2806" w:type="dxa"/>
                  <w:shd w:val="clear" w:color="auto" w:fill="auto"/>
                </w:tcPr>
                <w:p w:rsidR="00EB1AEC" w:rsidRPr="00B04564" w:rsidRDefault="00EB1AEC" w:rsidP="00EB1AEC">
                  <w:pPr>
                    <w:pStyle w:val="TAC"/>
                  </w:pPr>
                  <w:r w:rsidRPr="00B04564">
                    <w:t>2570 MHz – 2620 MHz</w:t>
                  </w:r>
                </w:p>
              </w:tc>
              <w:tc>
                <w:tcPr>
                  <w:tcW w:w="1286" w:type="dxa"/>
                  <w:shd w:val="clear" w:color="auto" w:fill="auto"/>
                </w:tcPr>
                <w:p w:rsidR="00EB1AEC" w:rsidRPr="00B04564" w:rsidRDefault="00EB1AEC" w:rsidP="00EB1AEC">
                  <w:pPr>
                    <w:pStyle w:val="TAC"/>
                  </w:pPr>
                  <w:r w:rsidRPr="00B04564">
                    <w:t>TDD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rPr>
                      <w:rFonts w:eastAsia="SimSun" w:hint="eastAsia"/>
                      <w:lang w:val="en-US" w:eastAsia="zh-CN"/>
                    </w:rPr>
                    <w:t>n39</w:t>
                  </w:r>
                </w:p>
              </w:tc>
              <w:tc>
                <w:tcPr>
                  <w:tcW w:w="2607" w:type="dxa"/>
                  <w:shd w:val="clear" w:color="auto" w:fill="auto"/>
                </w:tcPr>
                <w:p w:rsidR="00EB1AEC" w:rsidRPr="00B04564" w:rsidRDefault="00EB1AEC" w:rsidP="00EB1AEC">
                  <w:pPr>
                    <w:pStyle w:val="TAC"/>
                  </w:pPr>
                  <w:r w:rsidRPr="00B04564">
                    <w:rPr>
                      <w:rFonts w:eastAsia="SimSun" w:hint="eastAsia"/>
                      <w:lang w:val="en-US" w:eastAsia="zh-CN"/>
                    </w:rPr>
                    <w:t>1880</w:t>
                  </w:r>
                  <w:r w:rsidRPr="00B04564">
                    <w:t xml:space="preserve"> MHz – </w:t>
                  </w:r>
                  <w:r w:rsidRPr="00B04564">
                    <w:rPr>
                      <w:rFonts w:eastAsia="SimSun" w:hint="eastAsia"/>
                      <w:lang w:val="en-US" w:eastAsia="zh-CN"/>
                    </w:rPr>
                    <w:t>1920</w:t>
                  </w:r>
                  <w:r w:rsidRPr="00B04564">
                    <w:t xml:space="preserve"> MHz</w:t>
                  </w:r>
                </w:p>
              </w:tc>
              <w:tc>
                <w:tcPr>
                  <w:tcW w:w="2806" w:type="dxa"/>
                  <w:shd w:val="clear" w:color="auto" w:fill="auto"/>
                </w:tcPr>
                <w:p w:rsidR="00EB1AEC" w:rsidRPr="00B04564" w:rsidRDefault="00EB1AEC" w:rsidP="00EB1AEC">
                  <w:pPr>
                    <w:pStyle w:val="TAC"/>
                  </w:pPr>
                  <w:r w:rsidRPr="00B04564">
                    <w:rPr>
                      <w:rFonts w:eastAsia="SimSun" w:hint="eastAsia"/>
                      <w:lang w:val="en-US" w:eastAsia="zh-CN"/>
                    </w:rPr>
                    <w:t>1880</w:t>
                  </w:r>
                  <w:r w:rsidRPr="00B04564">
                    <w:t xml:space="preserve"> MHz – </w:t>
                  </w:r>
                  <w:r w:rsidRPr="00B04564">
                    <w:rPr>
                      <w:rFonts w:eastAsia="SimSun" w:hint="eastAsia"/>
                      <w:lang w:val="en-US" w:eastAsia="zh-CN"/>
                    </w:rPr>
                    <w:t>19</w:t>
                  </w:r>
                  <w:r w:rsidRPr="00B04564">
                    <w:t>20 MHz</w:t>
                  </w:r>
                </w:p>
              </w:tc>
              <w:tc>
                <w:tcPr>
                  <w:tcW w:w="1286" w:type="dxa"/>
                  <w:shd w:val="clear" w:color="auto" w:fill="auto"/>
                </w:tcPr>
                <w:p w:rsidR="00EB1AEC" w:rsidRPr="00B04564" w:rsidRDefault="00EB1AEC" w:rsidP="00EB1AEC">
                  <w:pPr>
                    <w:pStyle w:val="TAC"/>
                  </w:pPr>
                  <w:r w:rsidRPr="00B04564">
                    <w:rPr>
                      <w:rFonts w:eastAsia="SimSun" w:hint="eastAsia"/>
                      <w:lang w:val="en-US" w:eastAsia="zh-CN"/>
                    </w:rPr>
                    <w:t>TDD</w:t>
                  </w:r>
                </w:p>
              </w:tc>
            </w:tr>
            <w:tr w:rsidR="00EB1AEC" w:rsidRPr="00B04564" w:rsidTr="00762B81">
              <w:trPr>
                <w:jc w:val="center"/>
              </w:trPr>
              <w:tc>
                <w:tcPr>
                  <w:tcW w:w="1037" w:type="dxa"/>
                  <w:shd w:val="clear" w:color="auto" w:fill="auto"/>
                </w:tcPr>
                <w:p w:rsidR="00EB1AEC" w:rsidRPr="00133CD1" w:rsidRDefault="00EB1AEC" w:rsidP="00EB1AEC">
                  <w:pPr>
                    <w:pStyle w:val="TAC"/>
                    <w:rPr>
                      <w:color w:val="4472C4" w:themeColor="accent1"/>
                    </w:rPr>
                  </w:pPr>
                  <w:r w:rsidRPr="00133CD1">
                    <w:rPr>
                      <w:color w:val="4472C4" w:themeColor="accent1"/>
                      <w:lang w:val="en-US"/>
                    </w:rPr>
                    <w:t>n40</w:t>
                  </w:r>
                </w:p>
              </w:tc>
              <w:tc>
                <w:tcPr>
                  <w:tcW w:w="2607" w:type="dxa"/>
                  <w:shd w:val="clear" w:color="auto" w:fill="auto"/>
                </w:tcPr>
                <w:p w:rsidR="00EB1AEC" w:rsidRPr="00133CD1" w:rsidRDefault="00EB1AEC" w:rsidP="00EB1AEC">
                  <w:pPr>
                    <w:pStyle w:val="TAC"/>
                    <w:rPr>
                      <w:color w:val="4472C4" w:themeColor="accent1"/>
                    </w:rPr>
                  </w:pPr>
                  <w:r w:rsidRPr="00133CD1">
                    <w:rPr>
                      <w:color w:val="4472C4" w:themeColor="accent1"/>
                      <w:lang w:val="en-US"/>
                    </w:rPr>
                    <w:t>2300 MHz – 2400 MHz</w:t>
                  </w:r>
                </w:p>
              </w:tc>
              <w:tc>
                <w:tcPr>
                  <w:tcW w:w="2806" w:type="dxa"/>
                  <w:shd w:val="clear" w:color="auto" w:fill="auto"/>
                </w:tcPr>
                <w:p w:rsidR="00EB1AEC" w:rsidRPr="00133CD1" w:rsidRDefault="00EB1AEC" w:rsidP="00EB1AEC">
                  <w:pPr>
                    <w:pStyle w:val="TAC"/>
                    <w:rPr>
                      <w:color w:val="4472C4" w:themeColor="accent1"/>
                    </w:rPr>
                  </w:pPr>
                  <w:r w:rsidRPr="00133CD1">
                    <w:rPr>
                      <w:color w:val="4472C4" w:themeColor="accent1"/>
                      <w:lang w:val="en-US"/>
                    </w:rPr>
                    <w:t>2300 MHz – 2400 MHz</w:t>
                  </w:r>
                </w:p>
              </w:tc>
              <w:tc>
                <w:tcPr>
                  <w:tcW w:w="1286" w:type="dxa"/>
                  <w:shd w:val="clear" w:color="auto" w:fill="auto"/>
                </w:tcPr>
                <w:p w:rsidR="00EB1AEC" w:rsidRPr="00133CD1" w:rsidRDefault="00EB1AEC" w:rsidP="00EB1AEC">
                  <w:pPr>
                    <w:pStyle w:val="TAC"/>
                    <w:rPr>
                      <w:color w:val="4472C4" w:themeColor="accent1"/>
                    </w:rPr>
                  </w:pPr>
                  <w:r w:rsidRPr="00133CD1">
                    <w:rPr>
                      <w:color w:val="4472C4" w:themeColor="accent1"/>
                      <w:lang w:val="en-US"/>
                    </w:rPr>
                    <w:t>TDD</w:t>
                  </w:r>
                </w:p>
              </w:tc>
            </w:tr>
            <w:tr w:rsidR="00EB1AEC" w:rsidRPr="00B04564" w:rsidTr="00762B81">
              <w:trPr>
                <w:jc w:val="center"/>
              </w:trPr>
              <w:tc>
                <w:tcPr>
                  <w:tcW w:w="1037" w:type="dxa"/>
                  <w:shd w:val="clear" w:color="auto" w:fill="auto"/>
                </w:tcPr>
                <w:p w:rsidR="00EB1AEC" w:rsidRPr="00133CD1" w:rsidRDefault="00EB1AEC" w:rsidP="00EB1AEC">
                  <w:pPr>
                    <w:pStyle w:val="TAC"/>
                    <w:rPr>
                      <w:color w:val="4472C4" w:themeColor="accent1"/>
                    </w:rPr>
                  </w:pPr>
                  <w:r w:rsidRPr="00133CD1">
                    <w:rPr>
                      <w:color w:val="4472C4" w:themeColor="accent1"/>
                    </w:rPr>
                    <w:t>n41</w:t>
                  </w:r>
                </w:p>
              </w:tc>
              <w:tc>
                <w:tcPr>
                  <w:tcW w:w="2607" w:type="dxa"/>
                  <w:shd w:val="clear" w:color="auto" w:fill="auto"/>
                </w:tcPr>
                <w:p w:rsidR="00EB1AEC" w:rsidRPr="00133CD1" w:rsidRDefault="00EB1AEC" w:rsidP="00EB1AEC">
                  <w:pPr>
                    <w:pStyle w:val="TAC"/>
                    <w:rPr>
                      <w:color w:val="4472C4" w:themeColor="accent1"/>
                    </w:rPr>
                  </w:pPr>
                  <w:r w:rsidRPr="00133CD1">
                    <w:rPr>
                      <w:color w:val="4472C4" w:themeColor="accent1"/>
                    </w:rPr>
                    <w:t>2496 MHz – 2690 MHz</w:t>
                  </w:r>
                </w:p>
              </w:tc>
              <w:tc>
                <w:tcPr>
                  <w:tcW w:w="2806" w:type="dxa"/>
                  <w:shd w:val="clear" w:color="auto" w:fill="auto"/>
                </w:tcPr>
                <w:p w:rsidR="00EB1AEC" w:rsidRPr="00133CD1" w:rsidRDefault="00EB1AEC" w:rsidP="00EB1AEC">
                  <w:pPr>
                    <w:pStyle w:val="TAC"/>
                    <w:rPr>
                      <w:color w:val="4472C4" w:themeColor="accent1"/>
                    </w:rPr>
                  </w:pPr>
                  <w:r w:rsidRPr="00133CD1">
                    <w:rPr>
                      <w:color w:val="4472C4" w:themeColor="accent1"/>
                    </w:rPr>
                    <w:t>2496 MHz – 2690 MHz</w:t>
                  </w:r>
                </w:p>
              </w:tc>
              <w:tc>
                <w:tcPr>
                  <w:tcW w:w="1286" w:type="dxa"/>
                  <w:shd w:val="clear" w:color="auto" w:fill="auto"/>
                </w:tcPr>
                <w:p w:rsidR="00EB1AEC" w:rsidRPr="00133CD1" w:rsidRDefault="00EB1AEC" w:rsidP="00EB1AEC">
                  <w:pPr>
                    <w:pStyle w:val="TAC"/>
                    <w:rPr>
                      <w:color w:val="4472C4" w:themeColor="accent1"/>
                    </w:rPr>
                  </w:pPr>
                  <w:r w:rsidRPr="00133CD1">
                    <w:rPr>
                      <w:color w:val="4472C4" w:themeColor="accent1"/>
                    </w:rPr>
                    <w:t>TDD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n51</w:t>
                  </w:r>
                </w:p>
              </w:tc>
              <w:tc>
                <w:tcPr>
                  <w:tcW w:w="2607" w:type="dxa"/>
                  <w:shd w:val="clear" w:color="auto" w:fill="auto"/>
                </w:tcPr>
                <w:p w:rsidR="00EB1AEC" w:rsidRPr="00B04564" w:rsidRDefault="00EB1AEC" w:rsidP="00EB1AEC">
                  <w:pPr>
                    <w:pStyle w:val="TAC"/>
                  </w:pPr>
                  <w:r w:rsidRPr="00B04564">
                    <w:t>1427 MHz – 1432 MHz</w:t>
                  </w:r>
                </w:p>
              </w:tc>
              <w:tc>
                <w:tcPr>
                  <w:tcW w:w="2806" w:type="dxa"/>
                  <w:shd w:val="clear" w:color="auto" w:fill="auto"/>
                </w:tcPr>
                <w:p w:rsidR="00EB1AEC" w:rsidRPr="00B04564" w:rsidRDefault="00EB1AEC" w:rsidP="00EB1AEC">
                  <w:pPr>
                    <w:pStyle w:val="TAC"/>
                  </w:pPr>
                  <w:r w:rsidRPr="00B04564">
                    <w:t>1427 MHz – 1432 MHz</w:t>
                  </w:r>
                </w:p>
              </w:tc>
              <w:tc>
                <w:tcPr>
                  <w:tcW w:w="1286" w:type="dxa"/>
                  <w:shd w:val="clear" w:color="auto" w:fill="auto"/>
                </w:tcPr>
                <w:p w:rsidR="00EB1AEC" w:rsidRPr="00B04564" w:rsidRDefault="00EB1AEC" w:rsidP="00EB1AEC">
                  <w:pPr>
                    <w:pStyle w:val="TAC"/>
                  </w:pPr>
                  <w:r w:rsidRPr="00B04564">
                    <w:t>TDD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n66</w:t>
                  </w:r>
                </w:p>
              </w:tc>
              <w:tc>
                <w:tcPr>
                  <w:tcW w:w="2607" w:type="dxa"/>
                  <w:shd w:val="clear" w:color="auto" w:fill="auto"/>
                </w:tcPr>
                <w:p w:rsidR="00EB1AEC" w:rsidRPr="00B04564" w:rsidRDefault="00EB1AEC" w:rsidP="00EB1AEC">
                  <w:pPr>
                    <w:pStyle w:val="TAC"/>
                  </w:pPr>
                  <w:r w:rsidRPr="00B04564">
                    <w:t>1710 MHz – 1780 MHz</w:t>
                  </w:r>
                </w:p>
              </w:tc>
              <w:tc>
                <w:tcPr>
                  <w:tcW w:w="2806" w:type="dxa"/>
                  <w:shd w:val="clear" w:color="auto" w:fill="auto"/>
                </w:tcPr>
                <w:p w:rsidR="00EB1AEC" w:rsidRPr="00B04564" w:rsidRDefault="00EB1AEC" w:rsidP="00EB1AEC">
                  <w:pPr>
                    <w:pStyle w:val="TAC"/>
                  </w:pPr>
                  <w:r w:rsidRPr="00B04564">
                    <w:t>2110 MHz – 2200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n70</w:t>
                  </w:r>
                </w:p>
              </w:tc>
              <w:tc>
                <w:tcPr>
                  <w:tcW w:w="2607" w:type="dxa"/>
                  <w:shd w:val="clear" w:color="auto" w:fill="auto"/>
                </w:tcPr>
                <w:p w:rsidR="00EB1AEC" w:rsidRPr="00B04564" w:rsidRDefault="00EB1AEC" w:rsidP="00EB1AEC">
                  <w:pPr>
                    <w:pStyle w:val="TAC"/>
                  </w:pPr>
                  <w:r w:rsidRPr="00B04564">
                    <w:t>1695 MHz – 1710 MHz</w:t>
                  </w:r>
                </w:p>
              </w:tc>
              <w:tc>
                <w:tcPr>
                  <w:tcW w:w="2806" w:type="dxa"/>
                  <w:shd w:val="clear" w:color="auto" w:fill="auto"/>
                </w:tcPr>
                <w:p w:rsidR="00EB1AEC" w:rsidRPr="00B04564" w:rsidRDefault="00EB1AEC" w:rsidP="00EB1AEC">
                  <w:pPr>
                    <w:pStyle w:val="TAC"/>
                  </w:pPr>
                  <w:r w:rsidRPr="00B04564">
                    <w:t>1995 MHz – 2020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n71</w:t>
                  </w:r>
                </w:p>
              </w:tc>
              <w:tc>
                <w:tcPr>
                  <w:tcW w:w="2607" w:type="dxa"/>
                  <w:shd w:val="clear" w:color="auto" w:fill="auto"/>
                </w:tcPr>
                <w:p w:rsidR="00EB1AEC" w:rsidRPr="00B04564" w:rsidRDefault="00EB1AEC" w:rsidP="00EB1AEC">
                  <w:pPr>
                    <w:pStyle w:val="TAC"/>
                  </w:pPr>
                  <w:r w:rsidRPr="00B04564">
                    <w:t>663 MHz – 698 MHz</w:t>
                  </w:r>
                </w:p>
              </w:tc>
              <w:tc>
                <w:tcPr>
                  <w:tcW w:w="2806" w:type="dxa"/>
                  <w:shd w:val="clear" w:color="auto" w:fill="auto"/>
                </w:tcPr>
                <w:p w:rsidR="00EB1AEC" w:rsidRPr="00B04564" w:rsidRDefault="00EB1AEC" w:rsidP="00EB1AEC">
                  <w:pPr>
                    <w:pStyle w:val="TAC"/>
                  </w:pPr>
                  <w:r w:rsidRPr="00B04564">
                    <w:t>617 MHz – 652 MHz</w:t>
                  </w:r>
                </w:p>
              </w:tc>
              <w:tc>
                <w:tcPr>
                  <w:tcW w:w="1286" w:type="dxa"/>
                  <w:shd w:val="clear" w:color="auto" w:fill="auto"/>
                </w:tcPr>
                <w:p w:rsidR="00EB1AEC" w:rsidRPr="00B04564" w:rsidRDefault="00EB1AEC" w:rsidP="00EB1AEC">
                  <w:pPr>
                    <w:pStyle w:val="TAC"/>
                  </w:pPr>
                  <w:r w:rsidRPr="00B04564">
                    <w:t>FDD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n75</w:t>
                  </w:r>
                </w:p>
              </w:tc>
              <w:tc>
                <w:tcPr>
                  <w:tcW w:w="2607" w:type="dxa"/>
                  <w:shd w:val="clear" w:color="auto" w:fill="auto"/>
                </w:tcPr>
                <w:p w:rsidR="00EB1AEC" w:rsidRPr="00B04564" w:rsidRDefault="00EB1AEC" w:rsidP="00EB1AEC">
                  <w:pPr>
                    <w:pStyle w:val="TAC"/>
                  </w:pPr>
                  <w:r w:rsidRPr="00B04564">
                    <w:t>N/A</w:t>
                  </w:r>
                </w:p>
              </w:tc>
              <w:tc>
                <w:tcPr>
                  <w:tcW w:w="2806" w:type="dxa"/>
                  <w:shd w:val="clear" w:color="auto" w:fill="auto"/>
                </w:tcPr>
                <w:p w:rsidR="00EB1AEC" w:rsidRPr="00B04564" w:rsidRDefault="00EB1AEC" w:rsidP="00EB1AEC">
                  <w:pPr>
                    <w:pStyle w:val="TAC"/>
                  </w:pPr>
                  <w:r w:rsidRPr="00B04564">
                    <w:t>1432 MHz – 1517 MHz</w:t>
                  </w:r>
                </w:p>
              </w:tc>
              <w:tc>
                <w:tcPr>
                  <w:tcW w:w="1286" w:type="dxa"/>
                  <w:shd w:val="clear" w:color="auto" w:fill="auto"/>
                </w:tcPr>
                <w:p w:rsidR="00EB1AEC" w:rsidRPr="00B04564" w:rsidRDefault="00EB1AEC" w:rsidP="00EB1AEC">
                  <w:pPr>
                    <w:pStyle w:val="TAC"/>
                  </w:pPr>
                  <w:r w:rsidRPr="00B04564">
                    <w:t>SDL</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n76</w:t>
                  </w:r>
                </w:p>
              </w:tc>
              <w:tc>
                <w:tcPr>
                  <w:tcW w:w="2607" w:type="dxa"/>
                  <w:shd w:val="clear" w:color="auto" w:fill="auto"/>
                </w:tcPr>
                <w:p w:rsidR="00EB1AEC" w:rsidRPr="00B04564" w:rsidRDefault="00EB1AEC" w:rsidP="00EB1AEC">
                  <w:pPr>
                    <w:pStyle w:val="TAC"/>
                  </w:pPr>
                  <w:r w:rsidRPr="00B04564">
                    <w:t>N/A</w:t>
                  </w:r>
                </w:p>
              </w:tc>
              <w:tc>
                <w:tcPr>
                  <w:tcW w:w="2806" w:type="dxa"/>
                  <w:shd w:val="clear" w:color="auto" w:fill="auto"/>
                </w:tcPr>
                <w:p w:rsidR="00EB1AEC" w:rsidRPr="00B04564" w:rsidRDefault="00EB1AEC" w:rsidP="00EB1AEC">
                  <w:pPr>
                    <w:pStyle w:val="TAC"/>
                  </w:pPr>
                  <w:r w:rsidRPr="00B04564">
                    <w:t>1427 MHz – 1432 MHz</w:t>
                  </w:r>
                </w:p>
              </w:tc>
              <w:tc>
                <w:tcPr>
                  <w:tcW w:w="1286" w:type="dxa"/>
                  <w:shd w:val="clear" w:color="auto" w:fill="auto"/>
                </w:tcPr>
                <w:p w:rsidR="00EB1AEC" w:rsidRPr="00B04564" w:rsidRDefault="00EB1AEC" w:rsidP="00EB1AEC">
                  <w:pPr>
                    <w:pStyle w:val="TAC"/>
                  </w:pPr>
                  <w:r w:rsidRPr="00B04564">
                    <w:t>SDL</w:t>
                  </w:r>
                </w:p>
              </w:tc>
            </w:tr>
            <w:tr w:rsidR="00EB1AEC" w:rsidRPr="00B04564" w:rsidTr="00762B81">
              <w:trPr>
                <w:jc w:val="center"/>
              </w:trPr>
              <w:tc>
                <w:tcPr>
                  <w:tcW w:w="1037" w:type="dxa"/>
                  <w:shd w:val="clear" w:color="auto" w:fill="auto"/>
                </w:tcPr>
                <w:p w:rsidR="00EB1AEC" w:rsidRPr="00133CD1" w:rsidRDefault="00EB1AEC" w:rsidP="00EB1AEC">
                  <w:pPr>
                    <w:pStyle w:val="TAC"/>
                    <w:rPr>
                      <w:color w:val="4472C4" w:themeColor="accent1"/>
                    </w:rPr>
                  </w:pPr>
                  <w:r w:rsidRPr="00133CD1">
                    <w:rPr>
                      <w:color w:val="4472C4" w:themeColor="accent1"/>
                    </w:rPr>
                    <w:t>n77</w:t>
                  </w:r>
                </w:p>
              </w:tc>
              <w:tc>
                <w:tcPr>
                  <w:tcW w:w="2607" w:type="dxa"/>
                  <w:shd w:val="clear" w:color="auto" w:fill="auto"/>
                </w:tcPr>
                <w:p w:rsidR="00EB1AEC" w:rsidRPr="00133CD1" w:rsidRDefault="00EB1AEC" w:rsidP="00EB1AEC">
                  <w:pPr>
                    <w:pStyle w:val="TAC"/>
                    <w:rPr>
                      <w:color w:val="4472C4" w:themeColor="accent1"/>
                    </w:rPr>
                  </w:pPr>
                  <w:r w:rsidRPr="00133CD1">
                    <w:rPr>
                      <w:color w:val="4472C4" w:themeColor="accent1"/>
                    </w:rPr>
                    <w:t>3300 MHz – 4200 MHz</w:t>
                  </w:r>
                </w:p>
              </w:tc>
              <w:tc>
                <w:tcPr>
                  <w:tcW w:w="2806" w:type="dxa"/>
                  <w:shd w:val="clear" w:color="auto" w:fill="auto"/>
                </w:tcPr>
                <w:p w:rsidR="00EB1AEC" w:rsidRPr="00133CD1" w:rsidRDefault="00EB1AEC" w:rsidP="00EB1AEC">
                  <w:pPr>
                    <w:pStyle w:val="TAC"/>
                    <w:rPr>
                      <w:color w:val="4472C4" w:themeColor="accent1"/>
                    </w:rPr>
                  </w:pPr>
                  <w:r w:rsidRPr="00133CD1">
                    <w:rPr>
                      <w:color w:val="4472C4" w:themeColor="accent1"/>
                    </w:rPr>
                    <w:t>3300 MHz – 4200 MHz</w:t>
                  </w:r>
                </w:p>
              </w:tc>
              <w:tc>
                <w:tcPr>
                  <w:tcW w:w="1286" w:type="dxa"/>
                  <w:shd w:val="clear" w:color="auto" w:fill="auto"/>
                </w:tcPr>
                <w:p w:rsidR="00EB1AEC" w:rsidRPr="00133CD1" w:rsidRDefault="00EB1AEC" w:rsidP="00EB1AEC">
                  <w:pPr>
                    <w:pStyle w:val="TAC"/>
                    <w:rPr>
                      <w:color w:val="4472C4" w:themeColor="accent1"/>
                    </w:rPr>
                  </w:pPr>
                  <w:r w:rsidRPr="00133CD1">
                    <w:rPr>
                      <w:color w:val="4472C4" w:themeColor="accent1"/>
                    </w:rPr>
                    <w:t>TDD</w:t>
                  </w:r>
                </w:p>
              </w:tc>
            </w:tr>
            <w:tr w:rsidR="00EB1AEC" w:rsidRPr="00B04564" w:rsidTr="00762B81">
              <w:trPr>
                <w:jc w:val="center"/>
              </w:trPr>
              <w:tc>
                <w:tcPr>
                  <w:tcW w:w="1037" w:type="dxa"/>
                  <w:shd w:val="clear" w:color="auto" w:fill="auto"/>
                </w:tcPr>
                <w:p w:rsidR="00EB1AEC" w:rsidRPr="00133CD1" w:rsidRDefault="00EB1AEC" w:rsidP="00EB1AEC">
                  <w:pPr>
                    <w:pStyle w:val="TAC"/>
                    <w:rPr>
                      <w:color w:val="4472C4" w:themeColor="accent1"/>
                    </w:rPr>
                  </w:pPr>
                  <w:r w:rsidRPr="00133CD1">
                    <w:rPr>
                      <w:color w:val="4472C4" w:themeColor="accent1"/>
                    </w:rPr>
                    <w:t>n78</w:t>
                  </w:r>
                </w:p>
              </w:tc>
              <w:tc>
                <w:tcPr>
                  <w:tcW w:w="2607" w:type="dxa"/>
                  <w:shd w:val="clear" w:color="auto" w:fill="auto"/>
                </w:tcPr>
                <w:p w:rsidR="00EB1AEC" w:rsidRPr="00133CD1" w:rsidRDefault="00EB1AEC" w:rsidP="00EB1AEC">
                  <w:pPr>
                    <w:pStyle w:val="TAC"/>
                    <w:rPr>
                      <w:color w:val="4472C4" w:themeColor="accent1"/>
                    </w:rPr>
                  </w:pPr>
                  <w:r w:rsidRPr="00133CD1">
                    <w:rPr>
                      <w:color w:val="4472C4" w:themeColor="accent1"/>
                    </w:rPr>
                    <w:t>3300 MHz – 3800 MHz</w:t>
                  </w:r>
                </w:p>
              </w:tc>
              <w:tc>
                <w:tcPr>
                  <w:tcW w:w="2806" w:type="dxa"/>
                  <w:shd w:val="clear" w:color="auto" w:fill="auto"/>
                </w:tcPr>
                <w:p w:rsidR="00EB1AEC" w:rsidRPr="00133CD1" w:rsidRDefault="00EB1AEC" w:rsidP="00EB1AEC">
                  <w:pPr>
                    <w:pStyle w:val="TAC"/>
                    <w:rPr>
                      <w:color w:val="4472C4" w:themeColor="accent1"/>
                    </w:rPr>
                  </w:pPr>
                  <w:r w:rsidRPr="00133CD1">
                    <w:rPr>
                      <w:color w:val="4472C4" w:themeColor="accent1"/>
                    </w:rPr>
                    <w:t>3300 MHz – 3800 MHz</w:t>
                  </w:r>
                </w:p>
              </w:tc>
              <w:tc>
                <w:tcPr>
                  <w:tcW w:w="1286" w:type="dxa"/>
                  <w:shd w:val="clear" w:color="auto" w:fill="auto"/>
                </w:tcPr>
                <w:p w:rsidR="00EB1AEC" w:rsidRPr="00133CD1" w:rsidRDefault="00EB1AEC" w:rsidP="00EB1AEC">
                  <w:pPr>
                    <w:pStyle w:val="TAC"/>
                    <w:rPr>
                      <w:color w:val="4472C4" w:themeColor="accent1"/>
                    </w:rPr>
                  </w:pPr>
                  <w:r w:rsidRPr="00133CD1">
                    <w:rPr>
                      <w:color w:val="4472C4" w:themeColor="accent1"/>
                    </w:rPr>
                    <w:t>TDD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n79</w:t>
                  </w:r>
                </w:p>
              </w:tc>
              <w:tc>
                <w:tcPr>
                  <w:tcW w:w="2607" w:type="dxa"/>
                  <w:shd w:val="clear" w:color="auto" w:fill="auto"/>
                </w:tcPr>
                <w:p w:rsidR="00EB1AEC" w:rsidRPr="00B04564" w:rsidRDefault="00EB1AEC" w:rsidP="00EB1AEC">
                  <w:pPr>
                    <w:pStyle w:val="TAC"/>
                  </w:pPr>
                  <w:r w:rsidRPr="00B04564">
                    <w:t>4400 MHz – 5000 MHz</w:t>
                  </w:r>
                </w:p>
              </w:tc>
              <w:tc>
                <w:tcPr>
                  <w:tcW w:w="2806" w:type="dxa"/>
                  <w:shd w:val="clear" w:color="auto" w:fill="auto"/>
                </w:tcPr>
                <w:p w:rsidR="00EB1AEC" w:rsidRPr="00B04564" w:rsidRDefault="00EB1AEC" w:rsidP="00EB1AEC">
                  <w:pPr>
                    <w:pStyle w:val="TAC"/>
                  </w:pPr>
                  <w:r w:rsidRPr="00B04564">
                    <w:t>4400 MHz – 5000 MHz</w:t>
                  </w:r>
                </w:p>
              </w:tc>
              <w:tc>
                <w:tcPr>
                  <w:tcW w:w="1286" w:type="dxa"/>
                  <w:shd w:val="clear" w:color="auto" w:fill="auto"/>
                </w:tcPr>
                <w:p w:rsidR="00EB1AEC" w:rsidRPr="00B04564" w:rsidRDefault="00EB1AEC" w:rsidP="00EB1AEC">
                  <w:pPr>
                    <w:pStyle w:val="TAC"/>
                  </w:pPr>
                  <w:r w:rsidRPr="00B04564">
                    <w:t>TDD</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n80</w:t>
                  </w:r>
                </w:p>
              </w:tc>
              <w:tc>
                <w:tcPr>
                  <w:tcW w:w="2607" w:type="dxa"/>
                  <w:shd w:val="clear" w:color="auto" w:fill="auto"/>
                </w:tcPr>
                <w:p w:rsidR="00EB1AEC" w:rsidRPr="00B04564" w:rsidRDefault="00EB1AEC" w:rsidP="00EB1AEC">
                  <w:pPr>
                    <w:pStyle w:val="TAC"/>
                  </w:pPr>
                  <w:r w:rsidRPr="00B04564">
                    <w:t>1710 MHz – 1785 MHz</w:t>
                  </w:r>
                </w:p>
              </w:tc>
              <w:tc>
                <w:tcPr>
                  <w:tcW w:w="2806" w:type="dxa"/>
                  <w:shd w:val="clear" w:color="auto" w:fill="auto"/>
                </w:tcPr>
                <w:p w:rsidR="00EB1AEC" w:rsidRPr="00B04564" w:rsidRDefault="00EB1AEC" w:rsidP="00EB1AEC">
                  <w:pPr>
                    <w:pStyle w:val="TAC"/>
                  </w:pPr>
                  <w:r w:rsidRPr="00B04564">
                    <w:t>N/A</w:t>
                  </w:r>
                </w:p>
              </w:tc>
              <w:tc>
                <w:tcPr>
                  <w:tcW w:w="1286" w:type="dxa"/>
                  <w:shd w:val="clear" w:color="auto" w:fill="auto"/>
                </w:tcPr>
                <w:p w:rsidR="00EB1AEC" w:rsidRPr="00B04564" w:rsidRDefault="00EB1AEC" w:rsidP="00EB1AEC">
                  <w:pPr>
                    <w:pStyle w:val="TAC"/>
                  </w:pPr>
                  <w:r w:rsidRPr="00B04564">
                    <w:t xml:space="preserve">SUL </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n81</w:t>
                  </w:r>
                </w:p>
              </w:tc>
              <w:tc>
                <w:tcPr>
                  <w:tcW w:w="2607" w:type="dxa"/>
                  <w:shd w:val="clear" w:color="auto" w:fill="auto"/>
                </w:tcPr>
                <w:p w:rsidR="00EB1AEC" w:rsidRPr="00B04564" w:rsidRDefault="00EB1AEC" w:rsidP="00EB1AEC">
                  <w:pPr>
                    <w:pStyle w:val="TAC"/>
                  </w:pPr>
                  <w:r w:rsidRPr="00B04564">
                    <w:t>880 MHz – 915 MHz</w:t>
                  </w:r>
                </w:p>
              </w:tc>
              <w:tc>
                <w:tcPr>
                  <w:tcW w:w="2806" w:type="dxa"/>
                  <w:shd w:val="clear" w:color="auto" w:fill="auto"/>
                </w:tcPr>
                <w:p w:rsidR="00EB1AEC" w:rsidRPr="00B04564" w:rsidRDefault="00EB1AEC" w:rsidP="00EB1AEC">
                  <w:pPr>
                    <w:pStyle w:val="TAC"/>
                  </w:pPr>
                  <w:r w:rsidRPr="00B04564">
                    <w:t>N/A</w:t>
                  </w:r>
                </w:p>
              </w:tc>
              <w:tc>
                <w:tcPr>
                  <w:tcW w:w="1286" w:type="dxa"/>
                  <w:shd w:val="clear" w:color="auto" w:fill="auto"/>
                </w:tcPr>
                <w:p w:rsidR="00EB1AEC" w:rsidRPr="00B04564" w:rsidRDefault="00EB1AEC" w:rsidP="00EB1AEC">
                  <w:pPr>
                    <w:pStyle w:val="TAC"/>
                  </w:pPr>
                  <w:r w:rsidRPr="00B04564">
                    <w:t xml:space="preserve">SUL </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n82</w:t>
                  </w:r>
                </w:p>
              </w:tc>
              <w:tc>
                <w:tcPr>
                  <w:tcW w:w="2607" w:type="dxa"/>
                  <w:shd w:val="clear" w:color="auto" w:fill="auto"/>
                </w:tcPr>
                <w:p w:rsidR="00EB1AEC" w:rsidRPr="00B04564" w:rsidRDefault="00EB1AEC" w:rsidP="00EB1AEC">
                  <w:pPr>
                    <w:pStyle w:val="TAC"/>
                  </w:pPr>
                  <w:r w:rsidRPr="00B04564">
                    <w:t>832 MHz – 862 MHz</w:t>
                  </w:r>
                </w:p>
              </w:tc>
              <w:tc>
                <w:tcPr>
                  <w:tcW w:w="2806" w:type="dxa"/>
                  <w:shd w:val="clear" w:color="auto" w:fill="auto"/>
                </w:tcPr>
                <w:p w:rsidR="00EB1AEC" w:rsidRPr="00B04564" w:rsidRDefault="00EB1AEC" w:rsidP="00EB1AEC">
                  <w:pPr>
                    <w:pStyle w:val="TAC"/>
                  </w:pPr>
                  <w:r w:rsidRPr="00B04564">
                    <w:t>N/A</w:t>
                  </w:r>
                </w:p>
              </w:tc>
              <w:tc>
                <w:tcPr>
                  <w:tcW w:w="1286" w:type="dxa"/>
                  <w:shd w:val="clear" w:color="auto" w:fill="auto"/>
                </w:tcPr>
                <w:p w:rsidR="00EB1AEC" w:rsidRPr="00B04564" w:rsidRDefault="00EB1AEC" w:rsidP="00EB1AEC">
                  <w:pPr>
                    <w:pStyle w:val="TAC"/>
                  </w:pPr>
                  <w:r w:rsidRPr="00B04564">
                    <w:t xml:space="preserve">SUL </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n83</w:t>
                  </w:r>
                </w:p>
              </w:tc>
              <w:tc>
                <w:tcPr>
                  <w:tcW w:w="2607" w:type="dxa"/>
                  <w:shd w:val="clear" w:color="auto" w:fill="auto"/>
                </w:tcPr>
                <w:p w:rsidR="00EB1AEC" w:rsidRPr="00B04564" w:rsidRDefault="00EB1AEC" w:rsidP="00EB1AEC">
                  <w:pPr>
                    <w:pStyle w:val="TAC"/>
                  </w:pPr>
                  <w:r w:rsidRPr="00B04564">
                    <w:t>703 MHz – 748 MHz</w:t>
                  </w:r>
                </w:p>
              </w:tc>
              <w:tc>
                <w:tcPr>
                  <w:tcW w:w="2806" w:type="dxa"/>
                  <w:shd w:val="clear" w:color="auto" w:fill="auto"/>
                </w:tcPr>
                <w:p w:rsidR="00EB1AEC" w:rsidRPr="00B04564" w:rsidRDefault="00EB1AEC" w:rsidP="00EB1AEC">
                  <w:pPr>
                    <w:pStyle w:val="TAC"/>
                  </w:pPr>
                  <w:r w:rsidRPr="00B04564">
                    <w:t>N/A</w:t>
                  </w:r>
                </w:p>
              </w:tc>
              <w:tc>
                <w:tcPr>
                  <w:tcW w:w="1286" w:type="dxa"/>
                  <w:shd w:val="clear" w:color="auto" w:fill="auto"/>
                </w:tcPr>
                <w:p w:rsidR="00EB1AEC" w:rsidRPr="00B04564" w:rsidRDefault="00EB1AEC" w:rsidP="00EB1AEC">
                  <w:pPr>
                    <w:pStyle w:val="TAC"/>
                  </w:pPr>
                  <w:r w:rsidRPr="00B04564">
                    <w:t>SUL</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n84</w:t>
                  </w:r>
                </w:p>
              </w:tc>
              <w:tc>
                <w:tcPr>
                  <w:tcW w:w="2607" w:type="dxa"/>
                  <w:shd w:val="clear" w:color="auto" w:fill="auto"/>
                </w:tcPr>
                <w:p w:rsidR="00EB1AEC" w:rsidRPr="00B04564" w:rsidRDefault="00EB1AEC" w:rsidP="00EB1AEC">
                  <w:pPr>
                    <w:pStyle w:val="TAC"/>
                  </w:pPr>
                  <w:r w:rsidRPr="00B04564">
                    <w:t>1920 MHz – 1980 MHz</w:t>
                  </w:r>
                </w:p>
              </w:tc>
              <w:tc>
                <w:tcPr>
                  <w:tcW w:w="2806" w:type="dxa"/>
                  <w:shd w:val="clear" w:color="auto" w:fill="auto"/>
                </w:tcPr>
                <w:p w:rsidR="00EB1AEC" w:rsidRPr="00B04564" w:rsidRDefault="00EB1AEC" w:rsidP="00EB1AEC">
                  <w:pPr>
                    <w:pStyle w:val="TAC"/>
                  </w:pPr>
                  <w:r w:rsidRPr="00B04564">
                    <w:t>N/A</w:t>
                  </w:r>
                </w:p>
              </w:tc>
              <w:tc>
                <w:tcPr>
                  <w:tcW w:w="1286" w:type="dxa"/>
                  <w:shd w:val="clear" w:color="auto" w:fill="auto"/>
                </w:tcPr>
                <w:p w:rsidR="00EB1AEC" w:rsidRPr="00B04564" w:rsidRDefault="00EB1AEC" w:rsidP="00EB1AEC">
                  <w:pPr>
                    <w:pStyle w:val="TAC"/>
                  </w:pPr>
                  <w:r w:rsidRPr="00B04564">
                    <w:t>SUL</w:t>
                  </w:r>
                </w:p>
              </w:tc>
            </w:tr>
            <w:tr w:rsidR="00EB1AEC" w:rsidRPr="00B04564" w:rsidTr="00762B81">
              <w:trPr>
                <w:jc w:val="center"/>
              </w:trPr>
              <w:tc>
                <w:tcPr>
                  <w:tcW w:w="1037" w:type="dxa"/>
                  <w:shd w:val="clear" w:color="auto" w:fill="auto"/>
                </w:tcPr>
                <w:p w:rsidR="00EB1AEC" w:rsidRPr="00B04564" w:rsidRDefault="00EB1AEC" w:rsidP="00EB1AEC">
                  <w:pPr>
                    <w:pStyle w:val="TAC"/>
                  </w:pPr>
                  <w:r w:rsidRPr="00B04564">
                    <w:t>n86</w:t>
                  </w:r>
                </w:p>
              </w:tc>
              <w:tc>
                <w:tcPr>
                  <w:tcW w:w="2607" w:type="dxa"/>
                  <w:shd w:val="clear" w:color="auto" w:fill="auto"/>
                </w:tcPr>
                <w:p w:rsidR="00EB1AEC" w:rsidRPr="00B04564" w:rsidRDefault="00EB1AEC" w:rsidP="00EB1AEC">
                  <w:pPr>
                    <w:pStyle w:val="TAC"/>
                  </w:pPr>
                  <w:r w:rsidRPr="00B04564">
                    <w:t>1710 MHz – 1780 MHz</w:t>
                  </w:r>
                </w:p>
              </w:tc>
              <w:tc>
                <w:tcPr>
                  <w:tcW w:w="2806" w:type="dxa"/>
                  <w:shd w:val="clear" w:color="auto" w:fill="auto"/>
                </w:tcPr>
                <w:p w:rsidR="00EB1AEC" w:rsidRPr="00B04564" w:rsidRDefault="00EB1AEC" w:rsidP="00EB1AEC">
                  <w:pPr>
                    <w:pStyle w:val="TAC"/>
                  </w:pPr>
                  <w:r w:rsidRPr="00B04564">
                    <w:t>N/A</w:t>
                  </w:r>
                </w:p>
              </w:tc>
              <w:tc>
                <w:tcPr>
                  <w:tcW w:w="1286" w:type="dxa"/>
                  <w:shd w:val="clear" w:color="auto" w:fill="auto"/>
                </w:tcPr>
                <w:p w:rsidR="00EB1AEC" w:rsidRPr="00B04564" w:rsidRDefault="00EB1AEC" w:rsidP="00EB1AEC">
                  <w:pPr>
                    <w:pStyle w:val="TAC"/>
                  </w:pPr>
                  <w:r w:rsidRPr="00B04564">
                    <w:t>SUL</w:t>
                  </w:r>
                </w:p>
              </w:tc>
            </w:tr>
          </w:tbl>
          <w:p w:rsidR="00D85A12" w:rsidRDefault="00D85A12" w:rsidP="00BC5E0A">
            <w:pPr>
              <w:pStyle w:val="Tabletext"/>
              <w:rPr>
                <w:rFonts w:eastAsia="SimSun"/>
                <w:lang w:val="en-GB"/>
              </w:rPr>
            </w:pPr>
          </w:p>
          <w:p w:rsidR="002D692D" w:rsidRDefault="009D52C7" w:rsidP="00BC5E0A">
            <w:pPr>
              <w:pStyle w:val="Tabletext"/>
              <w:rPr>
                <w:rFonts w:eastAsia="SimSun"/>
                <w:i/>
                <w:lang w:val="en-GB"/>
              </w:rPr>
            </w:pPr>
            <w:r>
              <w:rPr>
                <w:rFonts w:eastAsia="SimSun"/>
                <w:i/>
                <w:lang w:val="en-GB"/>
              </w:rPr>
              <w:t xml:space="preserve">Inference: </w:t>
            </w:r>
            <w:r w:rsidR="00B16AF4" w:rsidRPr="00C66B7F">
              <w:rPr>
                <w:rFonts w:eastAsia="SimSun"/>
                <w:i/>
                <w:lang w:val="en-GB"/>
              </w:rPr>
              <w:t>Thus</w:t>
            </w:r>
            <w:r w:rsidR="00C02C05" w:rsidRPr="00C66B7F">
              <w:rPr>
                <w:rFonts w:eastAsia="SimSun"/>
                <w:i/>
                <w:lang w:val="en-GB"/>
              </w:rPr>
              <w:t>,</w:t>
            </w:r>
            <w:r w:rsidR="00B16AF4" w:rsidRPr="00C66B7F">
              <w:rPr>
                <w:rFonts w:eastAsia="SimSun"/>
                <w:i/>
                <w:lang w:val="en-GB"/>
              </w:rPr>
              <w:t xml:space="preserve"> the proponents RIT has support for bands identified for IMT-2020.</w:t>
            </w:r>
          </w:p>
          <w:p w:rsidR="009D52C7" w:rsidRDefault="009D52C7" w:rsidP="00BC5E0A">
            <w:pPr>
              <w:pStyle w:val="Tabletext"/>
              <w:rPr>
                <w:rFonts w:eastAsia="SimSun"/>
                <w:i/>
                <w:lang w:val="en-GB"/>
              </w:rPr>
            </w:pPr>
            <w:r>
              <w:rPr>
                <w:rFonts w:eastAsia="SimSun"/>
                <w:i/>
                <w:lang w:val="en-GB"/>
              </w:rPr>
              <w:t>Note</w:t>
            </w:r>
            <w:r w:rsidR="00AC214D">
              <w:rPr>
                <w:rFonts w:eastAsia="SimSun"/>
                <w:i/>
                <w:lang w:val="en-GB"/>
              </w:rPr>
              <w:t xml:space="preserve"> 1</w:t>
            </w:r>
            <w:r>
              <w:rPr>
                <w:rFonts w:eastAsia="SimSun"/>
                <w:i/>
                <w:lang w:val="en-GB"/>
              </w:rPr>
              <w:t xml:space="preserve">: </w:t>
            </w:r>
            <w:r w:rsidR="00AC214D">
              <w:rPr>
                <w:rFonts w:eastAsia="SimSun"/>
                <w:i/>
                <w:lang w:val="en-GB"/>
              </w:rPr>
              <w:t>The evaluation group made use of 3GPP T</w:t>
            </w:r>
            <w:r w:rsidR="00E97B11">
              <w:rPr>
                <w:rFonts w:eastAsia="SimSun"/>
                <w:i/>
                <w:lang w:val="en-GB"/>
              </w:rPr>
              <w:t>S</w:t>
            </w:r>
            <w:r w:rsidR="00B72905">
              <w:rPr>
                <w:rFonts w:eastAsia="SimSun"/>
                <w:i/>
                <w:lang w:val="en-GB"/>
              </w:rPr>
              <w:t xml:space="preserve"> 38.</w:t>
            </w:r>
            <w:r w:rsidR="00DF455D">
              <w:rPr>
                <w:rFonts w:eastAsia="SimSun"/>
                <w:i/>
                <w:lang w:val="en-GB"/>
              </w:rPr>
              <w:t xml:space="preserve">104 </w:t>
            </w:r>
            <w:r w:rsidR="00AC214D">
              <w:rPr>
                <w:rFonts w:eastAsia="SimSun"/>
                <w:i/>
                <w:lang w:val="en-GB"/>
              </w:rPr>
              <w:t xml:space="preserve"> for this </w:t>
            </w:r>
            <w:r w:rsidR="00AA4CB8">
              <w:rPr>
                <w:rFonts w:eastAsia="SimSun"/>
                <w:i/>
                <w:lang w:val="en-GB"/>
              </w:rPr>
              <w:t>inference</w:t>
            </w:r>
          </w:p>
          <w:p w:rsidR="00AA4CB8" w:rsidRPr="00C66B7F" w:rsidRDefault="00AA4CB8" w:rsidP="00BC5E0A">
            <w:pPr>
              <w:pStyle w:val="Tabletext"/>
              <w:rPr>
                <w:rFonts w:eastAsia="SimSun"/>
                <w:i/>
                <w:lang w:val="en-GB"/>
              </w:rPr>
            </w:pPr>
            <w:r w:rsidRPr="006B21AD">
              <w:rPr>
                <w:rFonts w:eastAsia="SimSun"/>
                <w:i/>
                <w:lang w:val="en-GB"/>
              </w:rPr>
              <w:t xml:space="preserve">Note 2: </w:t>
            </w:r>
            <w:r w:rsidRPr="00601283">
              <w:rPr>
                <w:rFonts w:eastAsia="SimSun"/>
                <w:i/>
                <w:lang w:val="en-GB"/>
              </w:rPr>
              <w:t xml:space="preserve">Text highlighted in blue are </w:t>
            </w:r>
            <w:r w:rsidR="00003F47" w:rsidRPr="00601283">
              <w:rPr>
                <w:rFonts w:eastAsia="SimSun"/>
                <w:i/>
                <w:lang w:val="en-GB"/>
              </w:rPr>
              <w:t xml:space="preserve">possible </w:t>
            </w:r>
            <w:r w:rsidRPr="00601283">
              <w:rPr>
                <w:rFonts w:eastAsia="SimSun"/>
                <w:i/>
                <w:lang w:val="en-GB"/>
              </w:rPr>
              <w:t>candidate bands in India</w:t>
            </w:r>
            <w:r w:rsidR="00003F47" w:rsidRPr="00601283">
              <w:rPr>
                <w:rFonts w:eastAsia="SimSun"/>
                <w:i/>
                <w:lang w:val="en-GB"/>
              </w:rPr>
              <w:t xml:space="preserve">, and the 5GIF </w:t>
            </w:r>
            <w:r w:rsidR="00A076FC" w:rsidRPr="00601283">
              <w:rPr>
                <w:rFonts w:eastAsia="SimSun"/>
                <w:i/>
                <w:lang w:val="en-GB"/>
              </w:rPr>
              <w:t xml:space="preserve">Evaluation will prioritize </w:t>
            </w:r>
            <w:r w:rsidR="00CA1A19" w:rsidRPr="00601283">
              <w:rPr>
                <w:rFonts w:eastAsia="SimSun"/>
                <w:i/>
                <w:lang w:val="en-GB"/>
              </w:rPr>
              <w:t xml:space="preserve">our </w:t>
            </w:r>
            <w:r w:rsidR="00A076FC" w:rsidRPr="00601283">
              <w:rPr>
                <w:rFonts w:eastAsia="SimSun"/>
                <w:i/>
                <w:lang w:val="en-GB"/>
              </w:rPr>
              <w:t>studies on them</w:t>
            </w:r>
          </w:p>
        </w:tc>
      </w:tr>
      <w:tr w:rsidR="00ED3479" w:rsidRPr="00D20117" w:rsidTr="005B1ED1">
        <w:trPr>
          <w:jc w:val="center"/>
        </w:trPr>
        <w:tc>
          <w:tcPr>
            <w:tcW w:w="1511" w:type="dxa"/>
            <w:tcBorders>
              <w:top w:val="single" w:sz="4" w:space="0" w:color="auto"/>
              <w:left w:val="single" w:sz="4" w:space="0" w:color="auto"/>
              <w:bottom w:val="single" w:sz="4" w:space="0" w:color="auto"/>
              <w:right w:val="single" w:sz="4" w:space="0" w:color="auto"/>
            </w:tcBorders>
            <w:hideMark/>
          </w:tcPr>
          <w:p w:rsidR="00ED3479" w:rsidRDefault="00ED3479" w:rsidP="00BC5E0A">
            <w:pPr>
              <w:pStyle w:val="Tabletext"/>
              <w:rPr>
                <w:rFonts w:eastAsia="SimSun"/>
                <w:b/>
                <w:highlight w:val="yellow"/>
              </w:rPr>
            </w:pPr>
            <w:r>
              <w:rPr>
                <w:rFonts w:eastAsia="Malgun Gothic"/>
                <w:b/>
              </w:rPr>
              <w:t>5</w:t>
            </w:r>
            <w:r>
              <w:rPr>
                <w:rFonts w:eastAsia="SimSun"/>
                <w:b/>
              </w:rPr>
              <w:t>.2.4.2.2</w:t>
            </w:r>
          </w:p>
        </w:tc>
        <w:tc>
          <w:tcPr>
            <w:tcW w:w="8118" w:type="dxa"/>
            <w:tcBorders>
              <w:top w:val="single" w:sz="4" w:space="0" w:color="auto"/>
              <w:left w:val="single" w:sz="4" w:space="0" w:color="auto"/>
              <w:bottom w:val="single" w:sz="4" w:space="0" w:color="auto"/>
              <w:right w:val="single" w:sz="4" w:space="0" w:color="auto"/>
            </w:tcBorders>
            <w:hideMark/>
          </w:tcPr>
          <w:p w:rsidR="00ED3479" w:rsidRPr="00D20117" w:rsidRDefault="00ED3479" w:rsidP="00BC5E0A">
            <w:pPr>
              <w:pStyle w:val="Tabletext"/>
              <w:rPr>
                <w:rFonts w:eastAsia="Malgun Gothic"/>
                <w:b/>
                <w:lang w:val="en-GB"/>
              </w:rPr>
            </w:pPr>
            <w:r w:rsidRPr="00D20117">
              <w:rPr>
                <w:rFonts w:eastAsia="SimSun"/>
                <w:b/>
                <w:lang w:val="en-GB"/>
              </w:rPr>
              <w:t>Higher Frequency range/band(s)</w:t>
            </w:r>
          </w:p>
          <w:p w:rsidR="00ED3479" w:rsidRPr="00D20117" w:rsidRDefault="00ED3479" w:rsidP="00BC5E0A">
            <w:pPr>
              <w:pStyle w:val="Tabletext"/>
              <w:rPr>
                <w:rFonts w:eastAsia="SimSun"/>
                <w:lang w:val="en-GB"/>
              </w:rPr>
            </w:pPr>
            <w:r w:rsidRPr="00D20117">
              <w:rPr>
                <w:rFonts w:eastAsia="SimSun"/>
                <w:lang w:val="en-GB"/>
              </w:rPr>
              <w:t>Is the proposal able to utilize</w:t>
            </w:r>
            <w:r w:rsidRPr="00D20117">
              <w:rPr>
                <w:rFonts w:eastAsia="Malgun Gothic"/>
                <w:lang w:val="en-GB"/>
              </w:rPr>
              <w:t xml:space="preserve"> the higher frequency range/band(s) </w:t>
            </w:r>
            <w:r w:rsidRPr="00D20117">
              <w:rPr>
                <w:lang w:val="en-GB"/>
              </w:rPr>
              <w:t xml:space="preserve">above </w:t>
            </w:r>
            <w:r w:rsidRPr="00D20117">
              <w:rPr>
                <w:rFonts w:eastAsia="Malgun Gothic"/>
                <w:lang w:val="en-GB"/>
              </w:rPr>
              <w:t>24.25 GHz</w:t>
            </w:r>
            <w:r w:rsidRPr="00D20117">
              <w:rPr>
                <w:rFonts w:eastAsia="SimSun"/>
                <w:lang w:val="en-GB"/>
              </w:rPr>
              <w:t>?:</w:t>
            </w:r>
            <w:r w:rsidRPr="00D20117">
              <w:rPr>
                <w:rFonts w:eastAsia="SimSun"/>
                <w:lang w:val="en-GB"/>
              </w:rPr>
              <w:tab/>
            </w:r>
            <w:r w:rsidR="0094189C" w:rsidRPr="006C1539">
              <w:rPr>
                <w:rFonts w:eastAsia="SimSun" w:hint="eastAsia"/>
                <w:lang w:val="en-GB"/>
              </w:rPr>
              <w:sym w:font="Wingdings" w:char="F0FE"/>
            </w:r>
            <w:r w:rsidRPr="00D20117">
              <w:rPr>
                <w:rFonts w:eastAsia="SimSun"/>
                <w:lang w:val="en-GB"/>
              </w:rPr>
              <w:t xml:space="preserve">YES / </w:t>
            </w:r>
            <w:r w:rsidRPr="00D20117">
              <w:rPr>
                <w:rFonts w:eastAsia="SimSun"/>
                <w:lang w:val="en-GB"/>
              </w:rPr>
              <w:tab/>
            </w:r>
            <w:r>
              <w:rPr>
                <w:rFonts w:eastAsia="SimSun"/>
              </w:rPr>
              <w:sym w:font="Times New Roman" w:char="F072"/>
            </w:r>
            <w:r w:rsidRPr="00D20117">
              <w:rPr>
                <w:rFonts w:eastAsia="SimSun"/>
                <w:lang w:val="en-GB"/>
              </w:rPr>
              <w:t xml:space="preserve"> NO</w:t>
            </w:r>
          </w:p>
          <w:p w:rsidR="00ED3479" w:rsidRPr="00D20117" w:rsidRDefault="00ED3479" w:rsidP="00BC5E0A">
            <w:pPr>
              <w:pStyle w:val="Tabletext"/>
              <w:rPr>
                <w:rFonts w:eastAsia="SimSun"/>
                <w:lang w:val="en-GB"/>
              </w:rPr>
            </w:pPr>
            <w:r w:rsidRPr="00D20117">
              <w:rPr>
                <w:rFonts w:eastAsia="SimSun"/>
                <w:lang w:val="en-GB"/>
              </w:rPr>
              <w:t>Specify in which band(s) the candidate RIT or candidate SRIT can be deployed.</w:t>
            </w:r>
          </w:p>
          <w:p w:rsidR="00ED3479" w:rsidRDefault="00ED3479" w:rsidP="00BC5E0A">
            <w:pPr>
              <w:pStyle w:val="Tabletext"/>
              <w:rPr>
                <w:rFonts w:eastAsia="Malgun Gothic"/>
                <w:lang w:val="en-GB" w:eastAsia="ko-KR"/>
              </w:rPr>
            </w:pPr>
            <w:r>
              <w:rPr>
                <w:rFonts w:eastAsia="Malgun Gothic"/>
                <w:lang w:val="en-GB" w:eastAsia="ko-KR"/>
              </w:rPr>
              <w:t>NOTE 1 –</w:t>
            </w:r>
            <w:r w:rsidRPr="00D20117">
              <w:rPr>
                <w:rFonts w:eastAsia="Malgun Gothic"/>
                <w:lang w:val="en-GB" w:eastAsia="ko-KR"/>
              </w:rPr>
              <w:t xml:space="preserve"> In the case of the candidate SRIT, at least one of the component RITs need to fulfil this requirement.</w:t>
            </w:r>
          </w:p>
          <w:p w:rsidR="00C02C05" w:rsidRDefault="00C02C05" w:rsidP="00BC5E0A">
            <w:pPr>
              <w:pStyle w:val="Tabletext"/>
              <w:rPr>
                <w:rFonts w:eastAsia="MS Mincho"/>
                <w:lang w:val="en-GB"/>
              </w:rPr>
            </w:pPr>
          </w:p>
          <w:p w:rsidR="00C02C05" w:rsidRPr="00C66B7F" w:rsidRDefault="00C02C05" w:rsidP="00BC5E0A">
            <w:pPr>
              <w:pStyle w:val="Tabletext"/>
              <w:rPr>
                <w:rFonts w:eastAsia="SimSun"/>
                <w:i/>
                <w:lang w:val="en-GB"/>
              </w:rPr>
            </w:pPr>
            <w:r w:rsidRPr="00C66B7F">
              <w:rPr>
                <w:rFonts w:eastAsia="SimSun"/>
                <w:i/>
                <w:lang w:val="en-GB"/>
              </w:rPr>
              <w:t>The proponent has identified support for the following bands in their submission.</w:t>
            </w:r>
          </w:p>
          <w:p w:rsidR="00C66B7F" w:rsidRDefault="00C66B7F" w:rsidP="00BC5E0A">
            <w:pPr>
              <w:pStyle w:val="Tabletext"/>
              <w:rPr>
                <w:rFonts w:eastAsia="SimSun"/>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C66B7F" w:rsidRPr="00B04564" w:rsidTr="00762B81">
              <w:trPr>
                <w:trHeight w:val="704"/>
                <w:jc w:val="center"/>
              </w:trPr>
              <w:tc>
                <w:tcPr>
                  <w:tcW w:w="1037" w:type="dxa"/>
                  <w:shd w:val="clear" w:color="auto" w:fill="auto"/>
                </w:tcPr>
                <w:p w:rsidR="00C66B7F" w:rsidRPr="00B04564" w:rsidRDefault="00C66B7F" w:rsidP="00C66B7F">
                  <w:pPr>
                    <w:pStyle w:val="TAH"/>
                    <w:rPr>
                      <w:rFonts w:cs="Arial"/>
                    </w:rPr>
                  </w:pPr>
                  <w:r w:rsidRPr="00B04564">
                    <w:rPr>
                      <w:rFonts w:cs="Arial"/>
                    </w:rPr>
                    <w:t xml:space="preserve">NR </w:t>
                  </w:r>
                  <w:r w:rsidRPr="00B04564">
                    <w:rPr>
                      <w:rFonts w:cs="Arial"/>
                      <w:i/>
                    </w:rPr>
                    <w:t>operating band</w:t>
                  </w:r>
                </w:p>
              </w:tc>
              <w:tc>
                <w:tcPr>
                  <w:tcW w:w="3106" w:type="dxa"/>
                  <w:shd w:val="clear" w:color="auto" w:fill="auto"/>
                </w:tcPr>
                <w:p w:rsidR="00C66B7F" w:rsidRPr="00B04564" w:rsidRDefault="00C66B7F" w:rsidP="00C66B7F">
                  <w:pPr>
                    <w:pStyle w:val="TAH"/>
                    <w:rPr>
                      <w:rFonts w:cs="Arial"/>
                    </w:rPr>
                  </w:pPr>
                  <w:r w:rsidRPr="00B04564">
                    <w:rPr>
                      <w:rFonts w:cs="Arial"/>
                    </w:rPr>
                    <w:t xml:space="preserve">Uplink (UL) and Downlink (DL) </w:t>
                  </w:r>
                  <w:r w:rsidRPr="00B04564">
                    <w:rPr>
                      <w:rFonts w:cs="Arial"/>
                      <w:i/>
                    </w:rPr>
                    <w:t>operating band</w:t>
                  </w:r>
                  <w:r w:rsidRPr="00B04564">
                    <w:rPr>
                      <w:rFonts w:cs="Arial"/>
                    </w:rPr>
                    <w:br/>
                    <w:t>BS transmit/receive</w:t>
                  </w:r>
                  <w:r w:rsidRPr="00B04564">
                    <w:rPr>
                      <w:rFonts w:cs="Arial"/>
                    </w:rPr>
                    <w:br/>
                    <w:t xml:space="preserve">UE transmit/receive </w:t>
                  </w:r>
                </w:p>
                <w:p w:rsidR="00C66B7F" w:rsidRPr="00B04564" w:rsidRDefault="00C66B7F" w:rsidP="00C66B7F">
                  <w:pPr>
                    <w:pStyle w:val="TAH"/>
                    <w:rPr>
                      <w:rFonts w:cs="Arial"/>
                      <w:vertAlign w:val="subscript"/>
                    </w:rPr>
                  </w:pPr>
                  <w:r w:rsidRPr="00B04564">
                    <w:rPr>
                      <w:rFonts w:cs="Arial"/>
                    </w:rPr>
                    <w:t>F</w:t>
                  </w:r>
                  <w:r w:rsidRPr="00B04564">
                    <w:rPr>
                      <w:rFonts w:cs="Arial"/>
                      <w:vertAlign w:val="subscript"/>
                    </w:rPr>
                    <w:t>UL_low</w:t>
                  </w:r>
                  <w:r w:rsidRPr="00B04564">
                    <w:rPr>
                      <w:rFonts w:cs="Arial"/>
                    </w:rPr>
                    <w:t xml:space="preserve">   –  F</w:t>
                  </w:r>
                  <w:r w:rsidRPr="00B04564">
                    <w:rPr>
                      <w:rFonts w:cs="Arial"/>
                      <w:vertAlign w:val="subscript"/>
                    </w:rPr>
                    <w:t>UL_high</w:t>
                  </w:r>
                </w:p>
                <w:p w:rsidR="00C66B7F" w:rsidRPr="00B04564" w:rsidRDefault="00C66B7F" w:rsidP="00C66B7F">
                  <w:pPr>
                    <w:pStyle w:val="TAH"/>
                    <w:rPr>
                      <w:rFonts w:cs="Arial"/>
                    </w:rPr>
                  </w:pPr>
                  <w:r w:rsidRPr="00B04564">
                    <w:rPr>
                      <w:rFonts w:cs="Arial"/>
                    </w:rPr>
                    <w:t>F</w:t>
                  </w:r>
                  <w:r w:rsidRPr="00B04564">
                    <w:rPr>
                      <w:rFonts w:cs="Arial"/>
                      <w:vertAlign w:val="subscript"/>
                    </w:rPr>
                    <w:t>DL_low</w:t>
                  </w:r>
                  <w:r w:rsidRPr="00B04564">
                    <w:rPr>
                      <w:rFonts w:cs="Arial"/>
                    </w:rPr>
                    <w:t xml:space="preserve">   –  F</w:t>
                  </w:r>
                  <w:r w:rsidRPr="00B04564">
                    <w:rPr>
                      <w:rFonts w:cs="Arial"/>
                      <w:vertAlign w:val="subscript"/>
                    </w:rPr>
                    <w:t>DL_high</w:t>
                  </w:r>
                </w:p>
              </w:tc>
              <w:tc>
                <w:tcPr>
                  <w:tcW w:w="1286" w:type="dxa"/>
                  <w:shd w:val="clear" w:color="auto" w:fill="auto"/>
                </w:tcPr>
                <w:p w:rsidR="00C66B7F" w:rsidRPr="00B04564" w:rsidRDefault="00C66B7F" w:rsidP="00C66B7F">
                  <w:pPr>
                    <w:pStyle w:val="TAH"/>
                    <w:rPr>
                      <w:rFonts w:cs="Arial"/>
                    </w:rPr>
                  </w:pPr>
                  <w:r w:rsidRPr="00B04564">
                    <w:rPr>
                      <w:rFonts w:cs="Arial"/>
                    </w:rPr>
                    <w:t>Duplex Mode</w:t>
                  </w:r>
                </w:p>
              </w:tc>
            </w:tr>
            <w:tr w:rsidR="00C66B7F" w:rsidRPr="00B04564" w:rsidTr="00762B81">
              <w:trPr>
                <w:jc w:val="center"/>
              </w:trPr>
              <w:tc>
                <w:tcPr>
                  <w:tcW w:w="1037" w:type="dxa"/>
                  <w:shd w:val="clear" w:color="auto" w:fill="auto"/>
                </w:tcPr>
                <w:p w:rsidR="00C66B7F" w:rsidRPr="00B04564" w:rsidRDefault="00C66B7F" w:rsidP="00C66B7F">
                  <w:pPr>
                    <w:pStyle w:val="TAC"/>
                  </w:pPr>
                  <w:r w:rsidRPr="00B04564">
                    <w:t>n257</w:t>
                  </w:r>
                </w:p>
              </w:tc>
              <w:tc>
                <w:tcPr>
                  <w:tcW w:w="3106" w:type="dxa"/>
                  <w:shd w:val="clear" w:color="auto" w:fill="auto"/>
                </w:tcPr>
                <w:p w:rsidR="00C66B7F" w:rsidRPr="00B04564" w:rsidRDefault="00C66B7F" w:rsidP="00C66B7F">
                  <w:pPr>
                    <w:pStyle w:val="TAC"/>
                  </w:pPr>
                  <w:r w:rsidRPr="00B04564">
                    <w:t>26500 MHz – 29500 MHz</w:t>
                  </w:r>
                </w:p>
              </w:tc>
              <w:tc>
                <w:tcPr>
                  <w:tcW w:w="1286" w:type="dxa"/>
                  <w:shd w:val="clear" w:color="auto" w:fill="auto"/>
                </w:tcPr>
                <w:p w:rsidR="00C66B7F" w:rsidRPr="00B04564" w:rsidRDefault="00C66B7F" w:rsidP="00C66B7F">
                  <w:pPr>
                    <w:pStyle w:val="TAC"/>
                  </w:pPr>
                  <w:r w:rsidRPr="00B04564">
                    <w:t>TDD</w:t>
                  </w:r>
                </w:p>
              </w:tc>
            </w:tr>
            <w:tr w:rsidR="00C66B7F" w:rsidRPr="00B04564" w:rsidTr="00762B81">
              <w:trPr>
                <w:jc w:val="center"/>
              </w:trPr>
              <w:tc>
                <w:tcPr>
                  <w:tcW w:w="1037" w:type="dxa"/>
                  <w:shd w:val="clear" w:color="auto" w:fill="auto"/>
                </w:tcPr>
                <w:p w:rsidR="00C66B7F" w:rsidRPr="00B04564" w:rsidRDefault="00C66B7F" w:rsidP="00C66B7F">
                  <w:pPr>
                    <w:pStyle w:val="TAC"/>
                  </w:pPr>
                  <w:r w:rsidRPr="00B04564">
                    <w:t>n258</w:t>
                  </w:r>
                </w:p>
              </w:tc>
              <w:tc>
                <w:tcPr>
                  <w:tcW w:w="3106" w:type="dxa"/>
                  <w:shd w:val="clear" w:color="auto" w:fill="auto"/>
                </w:tcPr>
                <w:p w:rsidR="00C66B7F" w:rsidRPr="00B04564" w:rsidRDefault="00C66B7F" w:rsidP="00C66B7F">
                  <w:pPr>
                    <w:pStyle w:val="TAC"/>
                  </w:pPr>
                  <w:r w:rsidRPr="00B04564">
                    <w:t>24250 MHz – 27500 MHz</w:t>
                  </w:r>
                </w:p>
              </w:tc>
              <w:tc>
                <w:tcPr>
                  <w:tcW w:w="1286" w:type="dxa"/>
                  <w:shd w:val="clear" w:color="auto" w:fill="auto"/>
                </w:tcPr>
                <w:p w:rsidR="00C66B7F" w:rsidRPr="00B04564" w:rsidRDefault="00C66B7F" w:rsidP="00C66B7F">
                  <w:pPr>
                    <w:pStyle w:val="TAC"/>
                  </w:pPr>
                  <w:r w:rsidRPr="00B04564">
                    <w:t>TDD</w:t>
                  </w:r>
                </w:p>
              </w:tc>
            </w:tr>
            <w:tr w:rsidR="00C66B7F" w:rsidRPr="00B04564" w:rsidTr="00762B81">
              <w:trPr>
                <w:jc w:val="center"/>
              </w:trPr>
              <w:tc>
                <w:tcPr>
                  <w:tcW w:w="1037" w:type="dxa"/>
                  <w:shd w:val="clear" w:color="auto" w:fill="auto"/>
                </w:tcPr>
                <w:p w:rsidR="00C66B7F" w:rsidRPr="00B04564" w:rsidRDefault="00C66B7F" w:rsidP="00C66B7F">
                  <w:pPr>
                    <w:pStyle w:val="TAC"/>
                  </w:pPr>
                  <w:r w:rsidRPr="00B04564">
                    <w:t>n260</w:t>
                  </w:r>
                </w:p>
              </w:tc>
              <w:tc>
                <w:tcPr>
                  <w:tcW w:w="3106" w:type="dxa"/>
                  <w:shd w:val="clear" w:color="auto" w:fill="auto"/>
                </w:tcPr>
                <w:p w:rsidR="00C66B7F" w:rsidRPr="00B04564" w:rsidRDefault="00C66B7F" w:rsidP="00C66B7F">
                  <w:pPr>
                    <w:pStyle w:val="TAC"/>
                  </w:pPr>
                  <w:r w:rsidRPr="00B04564">
                    <w:t>37000 MHz – 40000 MHz</w:t>
                  </w:r>
                </w:p>
              </w:tc>
              <w:tc>
                <w:tcPr>
                  <w:tcW w:w="1286" w:type="dxa"/>
                  <w:shd w:val="clear" w:color="auto" w:fill="auto"/>
                </w:tcPr>
                <w:p w:rsidR="00C66B7F" w:rsidRPr="00B04564" w:rsidRDefault="00C66B7F" w:rsidP="00C66B7F">
                  <w:pPr>
                    <w:pStyle w:val="TAC"/>
                  </w:pPr>
                  <w:r w:rsidRPr="00B04564">
                    <w:t>TDD</w:t>
                  </w:r>
                </w:p>
              </w:tc>
            </w:tr>
            <w:tr w:rsidR="00C66B7F" w:rsidRPr="00B04564" w:rsidTr="00762B81">
              <w:trPr>
                <w:jc w:val="center"/>
              </w:trPr>
              <w:tc>
                <w:tcPr>
                  <w:tcW w:w="1037" w:type="dxa"/>
                  <w:shd w:val="clear" w:color="auto" w:fill="auto"/>
                </w:tcPr>
                <w:p w:rsidR="00C66B7F" w:rsidRPr="00B04564" w:rsidRDefault="00C66B7F" w:rsidP="00C66B7F">
                  <w:pPr>
                    <w:pStyle w:val="TAC"/>
                  </w:pPr>
                  <w:r w:rsidRPr="00B04564">
                    <w:t>n261</w:t>
                  </w:r>
                </w:p>
              </w:tc>
              <w:tc>
                <w:tcPr>
                  <w:tcW w:w="3106" w:type="dxa"/>
                  <w:shd w:val="clear" w:color="auto" w:fill="auto"/>
                </w:tcPr>
                <w:p w:rsidR="00C66B7F" w:rsidRPr="00B04564" w:rsidRDefault="00C66B7F" w:rsidP="00C66B7F">
                  <w:pPr>
                    <w:pStyle w:val="TAC"/>
                  </w:pPr>
                  <w:r w:rsidRPr="00B04564">
                    <w:t>27500 MHz – 28350 MHz</w:t>
                  </w:r>
                </w:p>
              </w:tc>
              <w:tc>
                <w:tcPr>
                  <w:tcW w:w="1286" w:type="dxa"/>
                  <w:shd w:val="clear" w:color="auto" w:fill="auto"/>
                </w:tcPr>
                <w:p w:rsidR="00C66B7F" w:rsidRPr="00B04564" w:rsidRDefault="00C66B7F" w:rsidP="00C66B7F">
                  <w:pPr>
                    <w:pStyle w:val="TAC"/>
                  </w:pPr>
                  <w:r w:rsidRPr="00B04564">
                    <w:t>TDD</w:t>
                  </w:r>
                </w:p>
              </w:tc>
            </w:tr>
          </w:tbl>
          <w:p w:rsidR="00C02C05" w:rsidRDefault="00C02C05" w:rsidP="00BC5E0A">
            <w:pPr>
              <w:pStyle w:val="Tabletext"/>
              <w:rPr>
                <w:rFonts w:eastAsia="MS Mincho"/>
                <w:lang w:val="en-GB"/>
              </w:rPr>
            </w:pPr>
          </w:p>
          <w:p w:rsidR="00C02C05" w:rsidRDefault="00C02C05" w:rsidP="00BC5E0A">
            <w:pPr>
              <w:pStyle w:val="Tabletext"/>
              <w:rPr>
                <w:rFonts w:eastAsia="SimSun"/>
                <w:i/>
                <w:lang w:val="en-GB"/>
              </w:rPr>
            </w:pPr>
            <w:r w:rsidRPr="00C66B7F">
              <w:rPr>
                <w:rFonts w:eastAsia="SimSun"/>
                <w:i/>
                <w:lang w:val="en-GB"/>
              </w:rPr>
              <w:t>Thus, the proponents RIT has support for bands identified for IMT-2020.</w:t>
            </w:r>
          </w:p>
          <w:p w:rsidR="009B66E8" w:rsidRPr="00557CA6" w:rsidRDefault="009B66E8" w:rsidP="009B66E8">
            <w:pPr>
              <w:pStyle w:val="Tabletext"/>
              <w:rPr>
                <w:rFonts w:eastAsia="SimSun"/>
                <w:i/>
                <w:lang w:val="en-GB"/>
              </w:rPr>
            </w:pPr>
            <w:r w:rsidRPr="00557CA6">
              <w:rPr>
                <w:rFonts w:eastAsia="SimSun"/>
                <w:i/>
                <w:lang w:val="en-GB"/>
              </w:rPr>
              <w:t>Inference: Thus, the proponents RIT has support for bands identified for IMT-2020.</w:t>
            </w:r>
          </w:p>
          <w:p w:rsidR="009B66E8" w:rsidRPr="00C66B7F" w:rsidRDefault="009B66E8" w:rsidP="009B66E8">
            <w:pPr>
              <w:pStyle w:val="Tabletext"/>
              <w:rPr>
                <w:rFonts w:eastAsia="MS Mincho"/>
                <w:i/>
                <w:lang w:val="en-GB"/>
              </w:rPr>
            </w:pPr>
            <w:r w:rsidRPr="00557CA6">
              <w:rPr>
                <w:rFonts w:eastAsia="SimSun"/>
                <w:i/>
                <w:lang w:val="en-GB"/>
              </w:rPr>
              <w:t>Note 1: The evaluation group made use of 3GPP TS</w:t>
            </w:r>
            <w:r w:rsidR="00557CA6" w:rsidRPr="00557CA6">
              <w:rPr>
                <w:rFonts w:eastAsia="SimSun"/>
                <w:i/>
                <w:lang w:val="en-GB"/>
              </w:rPr>
              <w:t xml:space="preserve"> 38.104 </w:t>
            </w:r>
            <w:r w:rsidRPr="00557CA6">
              <w:rPr>
                <w:rFonts w:eastAsia="SimSun"/>
                <w:i/>
                <w:lang w:val="en-GB"/>
              </w:rPr>
              <w:t xml:space="preserve"> for this inference</w:t>
            </w:r>
          </w:p>
        </w:tc>
      </w:tr>
    </w:tbl>
    <w:p w:rsidR="00ED3479" w:rsidRDefault="00ED3479" w:rsidP="00ED3479">
      <w:pPr>
        <w:pStyle w:val="Tablefin"/>
      </w:pPr>
    </w:p>
    <w:p w:rsidR="00ED3479" w:rsidRDefault="00ED3479" w:rsidP="00ED3479">
      <w:pPr>
        <w:tabs>
          <w:tab w:val="clear" w:pos="794"/>
          <w:tab w:val="clear" w:pos="1191"/>
          <w:tab w:val="clear" w:pos="1588"/>
          <w:tab w:val="clear" w:pos="1985"/>
        </w:tabs>
        <w:overflowPunct/>
        <w:autoSpaceDE/>
        <w:autoSpaceDN/>
        <w:adjustRightInd/>
        <w:spacing w:before="0" w:after="160" w:line="259" w:lineRule="auto"/>
        <w:jc w:val="left"/>
        <w:textAlignment w:val="auto"/>
        <w:rPr>
          <w:b/>
        </w:rPr>
      </w:pPr>
      <w:r>
        <w:br w:type="page"/>
      </w:r>
    </w:p>
    <w:p w:rsidR="00ED3479" w:rsidRDefault="00ED3479" w:rsidP="00ED3479">
      <w:pPr>
        <w:pStyle w:val="Heading4"/>
        <w:spacing w:after="120"/>
      </w:pPr>
      <w:r>
        <w:t xml:space="preserve">5.2.4.3 </w:t>
      </w:r>
      <w:r>
        <w:tab/>
        <w:t xml:space="preserve">Compliance template for </w:t>
      </w:r>
      <w:r>
        <w:rPr>
          <w:rStyle w:val="Heading4CharChar"/>
        </w:rPr>
        <w:t>technical</w:t>
      </w:r>
      <w:r>
        <w:t xml:space="preserve"> performance</w:t>
      </w:r>
      <w:r>
        <w:rPr>
          <w:rStyle w:val="FootnoteReference"/>
        </w:rPr>
        <w:t>3</w:t>
      </w:r>
    </w:p>
    <w:p w:rsidR="00ED3479" w:rsidRPr="003F3E71" w:rsidRDefault="00ED3479" w:rsidP="00ED3479"/>
    <w:tbl>
      <w:tblPr>
        <w:tblpPr w:leftFromText="180" w:rightFromText="180" w:vertAnchor="text" w:tblpXSpec="center" w:tblpY="1"/>
        <w:tblOverlap w:val="never"/>
        <w:tblW w:w="12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658"/>
        <w:gridCol w:w="1032"/>
        <w:gridCol w:w="1410"/>
        <w:gridCol w:w="1285"/>
        <w:gridCol w:w="1279"/>
        <w:gridCol w:w="1037"/>
        <w:gridCol w:w="1158"/>
        <w:gridCol w:w="3196"/>
      </w:tblGrid>
      <w:tr w:rsidR="00ED3479" w:rsidRPr="003F3E71" w:rsidTr="00C86D6B">
        <w:trPr>
          <w:cantSplit/>
          <w:tblHeader/>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head"/>
              <w:rPr>
                <w:sz w:val="20"/>
                <w:lang w:val="en-GB"/>
              </w:rPr>
            </w:pPr>
            <w:r w:rsidRPr="003F3E71">
              <w:rPr>
                <w:sz w:val="20"/>
                <w:lang w:val="en-GB"/>
              </w:rPr>
              <w:t>Minimum technical performance requirements item (5.2.4.3.x), units, and Report</w:t>
            </w:r>
            <w:r w:rsidRPr="003F3E71">
              <w:rPr>
                <w:sz w:val="20"/>
                <w:lang w:val="en-GB"/>
              </w:rPr>
              <w:br/>
              <w:t>ITU-R M.2410-0 section reference</w:t>
            </w:r>
            <w:r w:rsidRPr="003F3E71">
              <w:rPr>
                <w:sz w:val="20"/>
                <w:vertAlign w:val="superscript"/>
                <w:lang w:val="en-GB"/>
              </w:rPr>
              <w:t>(1)</w:t>
            </w:r>
          </w:p>
        </w:tc>
        <w:tc>
          <w:tcPr>
            <w:tcW w:w="372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head"/>
              <w:rPr>
                <w:sz w:val="20"/>
              </w:rPr>
            </w:pPr>
            <w:r w:rsidRPr="003F3E71">
              <w:rPr>
                <w:sz w:val="20"/>
              </w:rPr>
              <w:t>Category</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pStyle w:val="Tablehead"/>
              <w:rPr>
                <w:sz w:val="20"/>
              </w:rPr>
            </w:pPr>
            <w:r w:rsidRPr="003F3E71">
              <w:rPr>
                <w:sz w:val="20"/>
              </w:rPr>
              <w:t>Required value</w:t>
            </w:r>
          </w:p>
        </w:tc>
        <w:tc>
          <w:tcPr>
            <w:tcW w:w="103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pStyle w:val="Tablehead"/>
              <w:rPr>
                <w:sz w:val="20"/>
              </w:rPr>
            </w:pPr>
            <w:r w:rsidRPr="003F3E71">
              <w:rPr>
                <w:sz w:val="20"/>
              </w:rPr>
              <w:t>Value</w:t>
            </w:r>
            <w:r w:rsidRPr="003F3E71">
              <w:rPr>
                <w:sz w:val="20"/>
                <w:vertAlign w:val="superscript"/>
              </w:rPr>
              <w:t>(2)</w:t>
            </w:r>
          </w:p>
        </w:tc>
        <w:tc>
          <w:tcPr>
            <w:tcW w:w="115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pStyle w:val="Tablehead"/>
              <w:rPr>
                <w:sz w:val="20"/>
              </w:rPr>
            </w:pPr>
            <w:r w:rsidRPr="003F3E71">
              <w:rPr>
                <w:sz w:val="20"/>
              </w:rPr>
              <w:t>Requirement met?</w:t>
            </w:r>
          </w:p>
        </w:tc>
        <w:tc>
          <w:tcPr>
            <w:tcW w:w="319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pStyle w:val="Tablehead"/>
              <w:rPr>
                <w:sz w:val="20"/>
                <w:lang w:val="en-GB"/>
              </w:rPr>
            </w:pPr>
            <w:r w:rsidRPr="003F3E71">
              <w:rPr>
                <w:sz w:val="20"/>
                <w:lang w:val="en-GB"/>
              </w:rPr>
              <w:t>Comments</w:t>
            </w:r>
            <w:r w:rsidRPr="003F3E71">
              <w:rPr>
                <w:sz w:val="20"/>
                <w:lang w:val="en-GB"/>
              </w:rPr>
              <w:br/>
            </w:r>
            <w:r w:rsidRPr="003F3E71">
              <w:rPr>
                <w:sz w:val="20"/>
                <w:vertAlign w:val="superscript"/>
                <w:lang w:val="en-GB"/>
              </w:rPr>
              <w:t>(3)</w:t>
            </w:r>
          </w:p>
        </w:tc>
      </w:tr>
      <w:tr w:rsidR="00ED3479" w:rsidRPr="003F3E71" w:rsidTr="00C86D6B">
        <w:trPr>
          <w:cantSplit/>
          <w:tblHeader/>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rFonts w:ascii="Times New Roman Bold" w:hAnsi="Times New Roman Bold" w:cs="Times New Roman Bold"/>
                <w:b/>
                <w:sz w:val="20"/>
                <w:lang w:val="en-GB"/>
              </w:rPr>
            </w:pP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head"/>
              <w:rPr>
                <w:sz w:val="20"/>
                <w:lang w:val="en-GB"/>
              </w:rPr>
            </w:pPr>
            <w:r w:rsidRPr="003F3E71">
              <w:rPr>
                <w:sz w:val="20"/>
                <w:lang w:val="en-GB"/>
              </w:rPr>
              <w:t>Usage scenario</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head"/>
              <w:rPr>
                <w:sz w:val="20"/>
                <w:lang w:val="en-GB"/>
              </w:rPr>
            </w:pPr>
            <w:r w:rsidRPr="003F3E71">
              <w:rPr>
                <w:sz w:val="20"/>
                <w:lang w:val="en-GB"/>
              </w:rPr>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head"/>
              <w:rPr>
                <w:sz w:val="20"/>
                <w:lang w:val="en-GB"/>
              </w:rPr>
            </w:pPr>
            <w:r w:rsidRPr="003F3E71">
              <w:rPr>
                <w:sz w:val="20"/>
                <w:lang w:val="en-GB"/>
              </w:rPr>
              <w:t>Downlink or 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ED3479" w:rsidRPr="003F3E71" w:rsidRDefault="00ED3479" w:rsidP="00C86D6B">
            <w:pPr>
              <w:pStyle w:val="Tablehead"/>
              <w:rPr>
                <w:sz w:val="20"/>
                <w:lang w:val="en-GB"/>
              </w:rPr>
            </w:pPr>
          </w:p>
        </w:tc>
        <w:tc>
          <w:tcPr>
            <w:tcW w:w="1037" w:type="dxa"/>
            <w:tcBorders>
              <w:top w:val="single" w:sz="4" w:space="0" w:color="auto"/>
              <w:left w:val="single" w:sz="4" w:space="0" w:color="auto"/>
              <w:bottom w:val="single" w:sz="4" w:space="0" w:color="auto"/>
              <w:right w:val="single" w:sz="4" w:space="0" w:color="auto"/>
            </w:tcBorders>
            <w:shd w:val="clear" w:color="auto" w:fill="FFFFFF"/>
            <w:vAlign w:val="center"/>
          </w:tcPr>
          <w:p w:rsidR="00ED3479" w:rsidRPr="003F3E71" w:rsidRDefault="00ED3479" w:rsidP="00C86D6B">
            <w:pPr>
              <w:pStyle w:val="Tablehead"/>
              <w:rPr>
                <w:sz w:val="20"/>
                <w:lang w:val="en-GB"/>
              </w:rPr>
            </w:pPr>
          </w:p>
        </w:tc>
        <w:tc>
          <w:tcPr>
            <w:tcW w:w="1158" w:type="dxa"/>
            <w:tcBorders>
              <w:top w:val="single" w:sz="4" w:space="0" w:color="auto"/>
              <w:left w:val="single" w:sz="4" w:space="0" w:color="auto"/>
              <w:bottom w:val="single" w:sz="4" w:space="0" w:color="auto"/>
              <w:right w:val="single" w:sz="4" w:space="0" w:color="auto"/>
            </w:tcBorders>
            <w:shd w:val="clear" w:color="auto" w:fill="FFFFFF"/>
            <w:vAlign w:val="center"/>
          </w:tcPr>
          <w:p w:rsidR="00ED3479" w:rsidRPr="003F3E71" w:rsidRDefault="00ED3479" w:rsidP="00C86D6B">
            <w:pPr>
              <w:pStyle w:val="Tablehead"/>
              <w:rPr>
                <w:sz w:val="20"/>
                <w:lang w:val="en-GB"/>
              </w:rPr>
            </w:pPr>
          </w:p>
        </w:tc>
        <w:tc>
          <w:tcPr>
            <w:tcW w:w="3196" w:type="dxa"/>
            <w:tcBorders>
              <w:top w:val="single" w:sz="4" w:space="0" w:color="auto"/>
              <w:left w:val="single" w:sz="4" w:space="0" w:color="auto"/>
              <w:bottom w:val="single" w:sz="4" w:space="0" w:color="auto"/>
              <w:right w:val="single" w:sz="4" w:space="0" w:color="auto"/>
            </w:tcBorders>
            <w:shd w:val="clear" w:color="auto" w:fill="FFFFFF"/>
            <w:vAlign w:val="center"/>
          </w:tcPr>
          <w:p w:rsidR="00ED3479" w:rsidRPr="003F3E71" w:rsidRDefault="00ED3479" w:rsidP="00C86D6B">
            <w:pPr>
              <w:pStyle w:val="Tablehead"/>
              <w:rPr>
                <w:sz w:val="20"/>
                <w:lang w:val="en-GB"/>
              </w:rPr>
            </w:pP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b/>
                <w:sz w:val="20"/>
                <w:lang w:val="en-GB"/>
              </w:rPr>
              <w:t>5.2.4.3.1</w:t>
            </w:r>
            <w:r w:rsidRPr="003F3E71">
              <w:rPr>
                <w:sz w:val="20"/>
                <w:lang w:val="en-GB"/>
              </w:rPr>
              <w:br/>
              <w:t>Peak data rate (Gbit/s)</w:t>
            </w:r>
            <w:r w:rsidRPr="003F3E71">
              <w:rPr>
                <w:sz w:val="20"/>
                <w:lang w:val="en-GB"/>
              </w:rPr>
              <w:br/>
            </w:r>
            <w:r w:rsidRPr="003F3E71">
              <w:rPr>
                <w:i/>
                <w:iCs/>
                <w:sz w:val="20"/>
                <w:lang w:val="en-GB"/>
              </w:rPr>
              <w:t>(4.1)</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rFonts w:eastAsia="Malgun Gothic"/>
                <w:sz w:val="20"/>
                <w:lang w:val="en-GB"/>
              </w:rPr>
            </w:pPr>
            <w:r w:rsidRPr="003F3E71">
              <w:rPr>
                <w:rFonts w:eastAsia="Malgun Gothic"/>
                <w:sz w:val="20"/>
                <w:lang w:val="en-GB"/>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rFonts w:eastAsia="MS Mincho"/>
                <w:sz w:val="20"/>
                <w:lang w:val="en-GB"/>
              </w:rPr>
            </w:pPr>
            <w:r w:rsidRPr="003F3E71">
              <w:rPr>
                <w:sz w:val="20"/>
                <w:lang w:val="en-GB"/>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sz w:val="20"/>
                <w:lang w:val="en-GB"/>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D3479" w:rsidP="00C86D6B">
            <w:pPr>
              <w:pStyle w:val="Tabletext"/>
              <w:rPr>
                <w:sz w:val="20"/>
              </w:rPr>
            </w:pPr>
            <w:r w:rsidRPr="00904841">
              <w:rPr>
                <w:sz w:val="20"/>
              </w:rPr>
              <w:t>20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904841" w:rsidRDefault="00367EA0" w:rsidP="00C86D6B">
            <w:pPr>
              <w:pStyle w:val="Tabletext"/>
              <w:rPr>
                <w:sz w:val="20"/>
              </w:rPr>
            </w:pPr>
            <w:r w:rsidRPr="00601283">
              <w:rPr>
                <w:sz w:val="20"/>
              </w:rPr>
              <w:t>20.</w:t>
            </w:r>
            <w:r w:rsidR="0085096B" w:rsidRPr="00601283">
              <w:rPr>
                <w:sz w:val="20"/>
              </w:rPr>
              <w:t>68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185AF7" w:rsidP="00C86D6B">
            <w:pPr>
              <w:pStyle w:val="Tabletext"/>
              <w:rPr>
                <w:sz w:val="20"/>
              </w:rPr>
            </w:pPr>
            <w:r w:rsidRPr="00904841">
              <w:rPr>
                <w:rFonts w:hint="eastAsia"/>
                <w:sz w:val="20"/>
                <w:lang w:val="en-GB"/>
              </w:rPr>
              <w:sym w:font="Wingdings" w:char="F0FE"/>
            </w:r>
            <w:r w:rsidR="00ED3479" w:rsidRPr="00904841">
              <w:rPr>
                <w:sz w:val="20"/>
              </w:rPr>
              <w:tab/>
              <w:t>Yes</w:t>
            </w:r>
            <w:r w:rsidR="00ED3479" w:rsidRPr="00904841">
              <w:rPr>
                <w:sz w:val="20"/>
              </w:rPr>
              <w:br/>
            </w:r>
            <w:r w:rsidR="00ED3479" w:rsidRPr="00904841">
              <w:rPr>
                <w:sz w:val="20"/>
              </w:rPr>
              <w:sym w:font="Times New Roman" w:char="F072"/>
            </w:r>
            <w:r w:rsidR="00ED3479" w:rsidRPr="0090484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601283" w:rsidRDefault="00B212B9" w:rsidP="00C86D6B">
            <w:pPr>
              <w:pStyle w:val="Tabletext"/>
              <w:rPr>
                <w:sz w:val="20"/>
              </w:rPr>
            </w:pPr>
            <w:r w:rsidRPr="00904841">
              <w:rPr>
                <w:sz w:val="20"/>
              </w:rPr>
              <w:t xml:space="preserve"> </w:t>
            </w:r>
            <w:r w:rsidR="00631485" w:rsidRPr="00904841">
              <w:rPr>
                <w:sz w:val="20"/>
              </w:rPr>
              <w:t>B</w:t>
            </w:r>
            <w:r w:rsidRPr="00904841">
              <w:rPr>
                <w:sz w:val="20"/>
              </w:rPr>
              <w:t xml:space="preserve">ased </w:t>
            </w:r>
            <w:r w:rsidR="003B7523" w:rsidRPr="00904841">
              <w:rPr>
                <w:sz w:val="20"/>
              </w:rPr>
              <w:t xml:space="preserve">on </w:t>
            </w:r>
            <w:r w:rsidRPr="00904841">
              <w:rPr>
                <w:sz w:val="20"/>
              </w:rPr>
              <w:t>10</w:t>
            </w:r>
            <w:r w:rsidR="003B7523" w:rsidRPr="00904841">
              <w:rPr>
                <w:sz w:val="20"/>
              </w:rPr>
              <w:t xml:space="preserve"> Component Carrier </w:t>
            </w:r>
            <w:r w:rsidR="003B7523" w:rsidRPr="00601283">
              <w:rPr>
                <w:sz w:val="20"/>
              </w:rPr>
              <w:t xml:space="preserve">of </w:t>
            </w:r>
            <w:r w:rsidR="00384B0E" w:rsidRPr="00601283">
              <w:rPr>
                <w:sz w:val="20"/>
              </w:rPr>
              <w:t xml:space="preserve">40MHz </w:t>
            </w:r>
            <w:r w:rsidR="00631485" w:rsidRPr="00601283">
              <w:rPr>
                <w:sz w:val="20"/>
              </w:rPr>
              <w:t xml:space="preserve">each </w:t>
            </w:r>
            <w:r w:rsidRPr="00601283">
              <w:rPr>
                <w:sz w:val="20"/>
              </w:rPr>
              <w:t>(</w:t>
            </w:r>
            <w:r w:rsidR="00384B0E" w:rsidRPr="00601283">
              <w:rPr>
                <w:sz w:val="20"/>
              </w:rPr>
              <w:t xml:space="preserve">FR1 , </w:t>
            </w:r>
            <w:r w:rsidRPr="00601283">
              <w:rPr>
                <w:sz w:val="20"/>
              </w:rPr>
              <w:t>SCS=30KHz</w:t>
            </w:r>
            <w:r w:rsidR="00384B0E" w:rsidRPr="00601283">
              <w:rPr>
                <w:sz w:val="20"/>
              </w:rPr>
              <w:t xml:space="preserve">, </w:t>
            </w:r>
            <w:r w:rsidRPr="00601283">
              <w:rPr>
                <w:sz w:val="20"/>
              </w:rPr>
              <w:t xml:space="preserve">FDD NR </w:t>
            </w:r>
            <w:r w:rsidR="00384B0E" w:rsidRPr="00601283">
              <w:rPr>
                <w:sz w:val="20"/>
              </w:rPr>
              <w:t>)</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rFonts w:eastAsia="Malgun Gothic"/>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D3479" w:rsidP="00C86D6B">
            <w:pPr>
              <w:pStyle w:val="Tabletext"/>
              <w:rPr>
                <w:sz w:val="20"/>
              </w:rPr>
            </w:pPr>
            <w:r w:rsidRPr="00904841">
              <w:rPr>
                <w:rFonts w:eastAsia="Malgun Gothic"/>
                <w:sz w:val="20"/>
              </w:rPr>
              <w:t>1</w:t>
            </w:r>
            <w:r w:rsidRPr="00904841">
              <w:rPr>
                <w:sz w:val="20"/>
              </w:rPr>
              <w:t>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904841" w:rsidRDefault="005A7F83" w:rsidP="00C86D6B">
            <w:pPr>
              <w:pStyle w:val="Tabletext"/>
              <w:rPr>
                <w:sz w:val="20"/>
              </w:rPr>
            </w:pPr>
            <w:r w:rsidRPr="00601283">
              <w:rPr>
                <w:sz w:val="20"/>
              </w:rPr>
              <w:t>10.</w:t>
            </w:r>
            <w:r w:rsidR="0085096B" w:rsidRPr="00601283">
              <w:rPr>
                <w:sz w:val="20"/>
              </w:rPr>
              <w:t>34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185AF7" w:rsidP="00C86D6B">
            <w:pPr>
              <w:pStyle w:val="Tabletext"/>
              <w:rPr>
                <w:sz w:val="20"/>
              </w:rPr>
            </w:pPr>
            <w:r w:rsidRPr="00904841">
              <w:rPr>
                <w:rFonts w:hint="eastAsia"/>
                <w:sz w:val="20"/>
                <w:lang w:val="en-GB"/>
              </w:rPr>
              <w:sym w:font="Wingdings" w:char="F0FE"/>
            </w:r>
            <w:r w:rsidR="00ED3479" w:rsidRPr="00904841">
              <w:rPr>
                <w:sz w:val="20"/>
              </w:rPr>
              <w:tab/>
              <w:t>Yes</w:t>
            </w:r>
            <w:r w:rsidR="00ED3479" w:rsidRPr="00904841">
              <w:rPr>
                <w:sz w:val="20"/>
              </w:rPr>
              <w:br/>
            </w:r>
            <w:r w:rsidR="00ED3479" w:rsidRPr="00904841">
              <w:rPr>
                <w:sz w:val="20"/>
              </w:rPr>
              <w:sym w:font="Times New Roman" w:char="F072"/>
            </w:r>
            <w:r w:rsidR="00ED3479" w:rsidRPr="0090484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601283" w:rsidRDefault="00ED3479" w:rsidP="00C86D6B">
            <w:pPr>
              <w:overflowPunct/>
              <w:autoSpaceDE/>
              <w:autoSpaceDN/>
              <w:adjustRightInd/>
              <w:spacing w:before="0"/>
              <w:rPr>
                <w:sz w:val="20"/>
              </w:rPr>
            </w:pP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keepNext/>
              <w:keepLines/>
              <w:rPr>
                <w:sz w:val="20"/>
                <w:lang w:val="en-GB"/>
              </w:rPr>
            </w:pPr>
            <w:r w:rsidRPr="003F3E71">
              <w:rPr>
                <w:b/>
                <w:sz w:val="20"/>
                <w:lang w:val="en-GB"/>
              </w:rPr>
              <w:t>5.2.4.3.2</w:t>
            </w:r>
            <w:r w:rsidRPr="003F3E71">
              <w:rPr>
                <w:sz w:val="20"/>
                <w:lang w:val="en-GB"/>
              </w:rPr>
              <w:br/>
              <w:t>Peak spectral efficiency (bit/s/Hz)</w:t>
            </w:r>
            <w:r w:rsidRPr="003F3E71">
              <w:rPr>
                <w:sz w:val="20"/>
                <w:lang w:val="en-GB"/>
              </w:rPr>
              <w:br/>
            </w:r>
            <w:r w:rsidRPr="003F3E71">
              <w:rPr>
                <w:i/>
                <w:iCs/>
                <w:sz w:val="20"/>
                <w:lang w:val="en-GB"/>
              </w:rPr>
              <w:t>(4.2)</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keepNext/>
              <w:keepLines/>
              <w:rPr>
                <w:rFonts w:eastAsia="Malgun Gothic"/>
                <w:sz w:val="20"/>
              </w:rPr>
            </w:pPr>
            <w:r w:rsidRPr="003F3E71">
              <w:rPr>
                <w:rFonts w:eastAsia="Malgun Gothic"/>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keepNext/>
              <w:keepLines/>
              <w:rPr>
                <w:rFonts w:eastAsia="MS Mincho"/>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keepNext/>
              <w:keepLines/>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D3479" w:rsidP="00C86D6B">
            <w:pPr>
              <w:pStyle w:val="Tabletext"/>
              <w:keepNext/>
              <w:keepLines/>
              <w:rPr>
                <w:sz w:val="20"/>
              </w:rPr>
            </w:pPr>
            <w:r w:rsidRPr="00904841">
              <w:rPr>
                <w:sz w:val="20"/>
              </w:rPr>
              <w:t>30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904841" w:rsidRDefault="00035290" w:rsidP="00C86D6B">
            <w:pPr>
              <w:pStyle w:val="Tabletext"/>
              <w:keepNext/>
              <w:keepLines/>
              <w:rPr>
                <w:sz w:val="20"/>
              </w:rPr>
            </w:pPr>
            <w:r w:rsidRPr="00601283">
              <w:rPr>
                <w:sz w:val="20"/>
              </w:rPr>
              <w:t>43.</w:t>
            </w:r>
            <w:r w:rsidR="0054112A" w:rsidRPr="00601283">
              <w:rPr>
                <w:sz w:val="20"/>
              </w:rPr>
              <w:t>6</w:t>
            </w:r>
            <w:r w:rsidR="00D763B7" w:rsidRPr="00601283">
              <w:rPr>
                <w:sz w:val="20"/>
              </w:rPr>
              <w:t>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54982" w:rsidP="00C86D6B">
            <w:pPr>
              <w:pStyle w:val="Tabletext"/>
              <w:keepNext/>
              <w:keepLines/>
              <w:rPr>
                <w:sz w:val="20"/>
              </w:rPr>
            </w:pPr>
            <w:r w:rsidRPr="00904841">
              <w:rPr>
                <w:rFonts w:hint="eastAsia"/>
                <w:sz w:val="20"/>
                <w:lang w:val="en-GB"/>
              </w:rPr>
              <w:sym w:font="Wingdings" w:char="F0FE"/>
            </w:r>
            <w:r w:rsidR="00ED3479" w:rsidRPr="00904841">
              <w:rPr>
                <w:sz w:val="20"/>
              </w:rPr>
              <w:tab/>
              <w:t>Yes</w:t>
            </w:r>
            <w:r w:rsidR="00ED3479" w:rsidRPr="00904841">
              <w:rPr>
                <w:sz w:val="20"/>
              </w:rPr>
              <w:br/>
            </w:r>
            <w:r w:rsidR="00ED3479" w:rsidRPr="00904841">
              <w:rPr>
                <w:sz w:val="20"/>
              </w:rPr>
              <w:sym w:font="Times New Roman" w:char="F072"/>
            </w:r>
            <w:r w:rsidR="00ED3479" w:rsidRPr="0090484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904841" w:rsidRDefault="007458F6" w:rsidP="00C86D6B">
            <w:pPr>
              <w:pStyle w:val="Tabletext"/>
              <w:keepNext/>
              <w:keepLines/>
              <w:rPr>
                <w:sz w:val="20"/>
              </w:rPr>
            </w:pPr>
            <w:r w:rsidRPr="00904841">
              <w:rPr>
                <w:sz w:val="20"/>
              </w:rPr>
              <w:t xml:space="preserve">Assumes </w:t>
            </w:r>
            <w:r w:rsidR="00E741A7" w:rsidRPr="00904841">
              <w:rPr>
                <w:sz w:val="20"/>
              </w:rPr>
              <w:t xml:space="preserve">overheard </w:t>
            </w:r>
            <w:r w:rsidRPr="00904841">
              <w:rPr>
                <w:sz w:val="20"/>
              </w:rPr>
              <w:t xml:space="preserve">for 10MHz FDD NR System </w:t>
            </w:r>
            <w:r w:rsidR="00E741A7" w:rsidRPr="00904841">
              <w:rPr>
                <w:sz w:val="20"/>
              </w:rPr>
              <w:t>(</w:t>
            </w:r>
            <w:r w:rsidR="0021639A" w:rsidRPr="00904841">
              <w:rPr>
                <w:sz w:val="20"/>
              </w:rPr>
              <w:t>SCS=30KHz</w:t>
            </w:r>
            <w:r w:rsidRPr="00904841">
              <w:rPr>
                <w:sz w:val="20"/>
              </w:rPr>
              <w:t>, FR1</w:t>
            </w:r>
            <w:r w:rsidR="0021639A" w:rsidRPr="00904841">
              <w:rPr>
                <w:sz w:val="20"/>
              </w:rPr>
              <w:t xml:space="preserve">) </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keepNext/>
              <w:keepLines/>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keepNext/>
              <w:keepLines/>
              <w:overflowPunct/>
              <w:autoSpaceDE/>
              <w:autoSpaceDN/>
              <w:adjustRightInd/>
              <w:spacing w:before="0"/>
              <w:rPr>
                <w:rFonts w:eastAsia="Malgun Gothic"/>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keepNext/>
              <w:keepLines/>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keepNext/>
              <w:keepLines/>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D3479" w:rsidP="00C86D6B">
            <w:pPr>
              <w:pStyle w:val="Tabletext"/>
              <w:keepNext/>
              <w:keepLines/>
              <w:rPr>
                <w:sz w:val="20"/>
              </w:rPr>
            </w:pPr>
            <w:r w:rsidRPr="00904841">
              <w:rPr>
                <w:rFonts w:eastAsia="Malgun Gothic"/>
                <w:sz w:val="20"/>
              </w:rPr>
              <w:t>15</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904841" w:rsidRDefault="00984A1C" w:rsidP="00C86D6B">
            <w:pPr>
              <w:pStyle w:val="Tabletext"/>
              <w:keepNext/>
              <w:keepLines/>
              <w:rPr>
                <w:sz w:val="20"/>
              </w:rPr>
            </w:pPr>
            <w:r w:rsidRPr="00601283">
              <w:rPr>
                <w:sz w:val="20"/>
              </w:rPr>
              <w:t>23.</w:t>
            </w:r>
            <w:r w:rsidR="00883AF3" w:rsidRPr="00601283">
              <w:rPr>
                <w:sz w:val="20"/>
              </w:rPr>
              <w:t>77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54982" w:rsidP="00C86D6B">
            <w:pPr>
              <w:pStyle w:val="Tabletext"/>
              <w:keepNext/>
              <w:keepLines/>
              <w:rPr>
                <w:sz w:val="20"/>
              </w:rPr>
            </w:pPr>
            <w:r w:rsidRPr="00904841">
              <w:rPr>
                <w:rFonts w:hint="eastAsia"/>
                <w:sz w:val="20"/>
                <w:lang w:val="en-GB"/>
              </w:rPr>
              <w:sym w:font="Wingdings" w:char="F0FE"/>
            </w:r>
            <w:r w:rsidR="00ED3479" w:rsidRPr="00904841">
              <w:rPr>
                <w:sz w:val="20"/>
              </w:rPr>
              <w:tab/>
              <w:t>Yes</w:t>
            </w:r>
            <w:r w:rsidR="00ED3479" w:rsidRPr="00904841">
              <w:rPr>
                <w:sz w:val="20"/>
              </w:rPr>
              <w:br/>
            </w:r>
            <w:r w:rsidR="00ED3479" w:rsidRPr="00904841">
              <w:rPr>
                <w:sz w:val="20"/>
              </w:rPr>
              <w:sym w:font="Times New Roman" w:char="F072"/>
            </w:r>
            <w:r w:rsidR="00ED3479" w:rsidRPr="0090484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601283" w:rsidRDefault="00ED3479" w:rsidP="00C86D6B">
            <w:pPr>
              <w:keepNext/>
              <w:keepLines/>
              <w:overflowPunct/>
              <w:autoSpaceDE/>
              <w:autoSpaceDN/>
              <w:adjustRightInd/>
              <w:spacing w:before="0"/>
              <w:rPr>
                <w:sz w:val="20"/>
              </w:rPr>
            </w:pP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b/>
                <w:sz w:val="20"/>
                <w:lang w:val="en-GB"/>
              </w:rPr>
              <w:t>5.2.4.3.3</w:t>
            </w:r>
            <w:r w:rsidRPr="003F3E71">
              <w:rPr>
                <w:sz w:val="20"/>
                <w:lang w:val="en-GB"/>
              </w:rPr>
              <w:br/>
              <w:t>User experienced data rate (Mbit/s)</w:t>
            </w:r>
            <w:r w:rsidRPr="003F3E71">
              <w:rPr>
                <w:sz w:val="20"/>
                <w:lang w:val="en-GB"/>
              </w:rPr>
              <w:br/>
            </w:r>
            <w:r w:rsidRPr="003F3E71">
              <w:rPr>
                <w:i/>
                <w:iCs/>
                <w:sz w:val="20"/>
                <w:lang w:val="en-GB"/>
              </w:rPr>
              <w:t>(4.3)</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rFonts w:eastAsia="Malgun Gothic"/>
                <w:sz w:val="20"/>
              </w:rPr>
            </w:pPr>
            <w:r w:rsidRPr="003F3E71">
              <w:rPr>
                <w:rFonts w:eastAsia="Malgun Gothic"/>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rFonts w:eastAsia="MS Mincho"/>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D3479" w:rsidP="00C86D6B">
            <w:pPr>
              <w:pStyle w:val="Tabletext"/>
              <w:rPr>
                <w:sz w:val="20"/>
              </w:rPr>
            </w:pPr>
            <w:r w:rsidRPr="00904841">
              <w:rPr>
                <w:sz w:val="20"/>
              </w:rPr>
              <w:t>100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601283"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904841" w:rsidRDefault="00ED3479" w:rsidP="00C86D6B">
            <w:pPr>
              <w:pStyle w:val="Tabletext"/>
              <w:rPr>
                <w:sz w:val="20"/>
              </w:rPr>
            </w:pPr>
            <w:r w:rsidRPr="00904841">
              <w:rPr>
                <w:sz w:val="20"/>
              </w:rPr>
              <w:sym w:font="Times New Roman" w:char="F072"/>
            </w:r>
            <w:r w:rsidRPr="00904841">
              <w:rPr>
                <w:sz w:val="20"/>
              </w:rPr>
              <w:tab/>
              <w:t>Yes</w:t>
            </w:r>
            <w:r w:rsidRPr="00904841">
              <w:rPr>
                <w:sz w:val="20"/>
              </w:rPr>
              <w:br/>
            </w:r>
            <w:r w:rsidRPr="00904841">
              <w:rPr>
                <w:sz w:val="20"/>
              </w:rPr>
              <w:sym w:font="Times New Roman" w:char="F072"/>
            </w:r>
            <w:r w:rsidRPr="0090484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904841" w:rsidRDefault="003A5E59" w:rsidP="00C86D6B">
            <w:pPr>
              <w:pStyle w:val="Tabletext"/>
              <w:rPr>
                <w:b/>
                <w:i/>
                <w:sz w:val="20"/>
              </w:rPr>
            </w:pPr>
            <w:r w:rsidRPr="00904841">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rFonts w:eastAsia="Malgun Gothic"/>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50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b/>
                <w:sz w:val="20"/>
                <w:lang w:val="en-GB"/>
              </w:rPr>
              <w:t>5.2.4.3.4</w:t>
            </w:r>
            <w:r w:rsidRPr="003F3E71">
              <w:rPr>
                <w:sz w:val="20"/>
                <w:lang w:val="en-GB"/>
              </w:rPr>
              <w:br/>
              <w:t>5</w:t>
            </w:r>
            <w:r w:rsidRPr="003F3E71">
              <w:rPr>
                <w:sz w:val="20"/>
                <w:vertAlign w:val="superscript"/>
                <w:lang w:val="en-GB"/>
              </w:rPr>
              <w:t>th</w:t>
            </w:r>
            <w:r w:rsidRPr="003F3E71">
              <w:rPr>
                <w:sz w:val="20"/>
                <w:lang w:val="en-GB"/>
              </w:rPr>
              <w:t xml:space="preserve"> percentile user spectral efficiency (bit/s/Hz)</w:t>
            </w:r>
            <w:r w:rsidRPr="003F3E71">
              <w:rPr>
                <w:sz w:val="20"/>
                <w:lang w:val="en-GB"/>
              </w:rPr>
              <w:br/>
            </w:r>
            <w:r w:rsidRPr="003F3E71">
              <w:rPr>
                <w:i/>
                <w:iCs/>
                <w:sz w:val="20"/>
                <w:lang w:val="en-GB"/>
              </w:rPr>
              <w:t>(4.4)</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0.3</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3A73CF"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0.21</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0.225</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3A73CF"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0.15</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0.12</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C86D6B"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0.045</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b/>
                <w:sz w:val="20"/>
                <w:lang w:val="en-GB"/>
              </w:rPr>
              <w:t>5.2.4.3.5</w:t>
            </w:r>
            <w:r w:rsidRPr="003F3E71">
              <w:rPr>
                <w:sz w:val="20"/>
                <w:lang w:val="en-GB"/>
              </w:rPr>
              <w:br/>
              <w:t>Average spectral efficiency (bit/s/Hz/ TRxP)</w:t>
            </w:r>
            <w:r w:rsidRPr="003F3E71">
              <w:rPr>
                <w:sz w:val="20"/>
                <w:lang w:val="en-GB"/>
              </w:rPr>
              <w:br/>
            </w:r>
            <w:r w:rsidRPr="003F3E71">
              <w:rPr>
                <w:i/>
                <w:iCs/>
                <w:sz w:val="20"/>
                <w:lang w:val="en-GB"/>
              </w:rPr>
              <w:t>(4.5)</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9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6.75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7.8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val="restart"/>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5.4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Rural – eMBB</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3.3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79"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1.6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79"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b/>
                <w:sz w:val="20"/>
                <w:lang w:val="en-GB"/>
              </w:rPr>
              <w:t>5.2.4.3.6</w:t>
            </w:r>
            <w:r w:rsidRPr="003F3E71">
              <w:rPr>
                <w:sz w:val="20"/>
                <w:lang w:val="en-GB"/>
              </w:rPr>
              <w:br/>
              <w:t>Area traffic capacity (Mbit/s/m</w:t>
            </w:r>
            <w:r w:rsidRPr="003F3E71">
              <w:rPr>
                <w:sz w:val="20"/>
                <w:vertAlign w:val="superscript"/>
                <w:lang w:val="en-GB"/>
              </w:rPr>
              <w:t>2</w:t>
            </w:r>
            <w:r w:rsidRPr="003F3E71">
              <w:rPr>
                <w:sz w:val="20"/>
                <w:lang w:val="en-GB"/>
              </w:rPr>
              <w:t>)</w:t>
            </w:r>
            <w:r w:rsidRPr="003F3E71">
              <w:rPr>
                <w:sz w:val="20"/>
                <w:lang w:val="en-GB"/>
              </w:rPr>
              <w:br/>
            </w:r>
            <w:r w:rsidRPr="003F3E71">
              <w:rPr>
                <w:i/>
                <w:iCs/>
                <w:sz w:val="20"/>
                <w:lang w:val="en-GB"/>
              </w:rPr>
              <w:t>(4.6)</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Indoor-Hotspot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10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b/>
                <w:sz w:val="20"/>
              </w:rPr>
              <w:t>5.2.4.3.7</w:t>
            </w:r>
            <w:r w:rsidRPr="003F3E71">
              <w:rPr>
                <w:sz w:val="20"/>
              </w:rPr>
              <w:br/>
              <w:t>User plane latency</w:t>
            </w:r>
            <w:r w:rsidRPr="003F3E71">
              <w:rPr>
                <w:sz w:val="20"/>
              </w:rPr>
              <w:br/>
              <w:t>(ms)</w:t>
            </w:r>
            <w:r w:rsidRPr="003F3E71">
              <w:rPr>
                <w:sz w:val="20"/>
              </w:rPr>
              <w:br/>
            </w:r>
            <w:r w:rsidRPr="003F3E71">
              <w:rPr>
                <w:i/>
                <w:iCs/>
                <w:sz w:val="20"/>
              </w:rPr>
              <w:t>(4.7.1)</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lang w:eastAsia="ko-KR"/>
              </w:rPr>
              <w:t>Uplink and 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4</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475859"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URLLC</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lang w:eastAsia="ko-KR"/>
              </w:rPr>
              <w:t>Uplink and 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1</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b/>
                <w:sz w:val="20"/>
              </w:rPr>
              <w:t>5.2.4.3.8</w:t>
            </w:r>
            <w:r w:rsidRPr="003F3E71">
              <w:rPr>
                <w:sz w:val="20"/>
              </w:rPr>
              <w:br/>
              <w:t>Control plane latency (ms)</w:t>
            </w:r>
            <w:r w:rsidRPr="003F3E71">
              <w:rPr>
                <w:sz w:val="20"/>
              </w:rPr>
              <w:br/>
            </w:r>
            <w:r w:rsidRPr="003F3E71">
              <w:rPr>
                <w:i/>
                <w:iCs/>
                <w:sz w:val="20"/>
              </w:rPr>
              <w:t>(4.7.2)</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r w:rsidRPr="003F3E71">
              <w:rPr>
                <w:sz w:val="20"/>
                <w:lang w:eastAsia="ko-KR"/>
              </w:rPr>
              <w:t xml:space="preserve"> </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20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URLLC</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20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b/>
                <w:sz w:val="20"/>
              </w:rPr>
              <w:t>5.2.4.3.9</w:t>
            </w:r>
            <w:r w:rsidRPr="003F3E71">
              <w:rPr>
                <w:sz w:val="20"/>
              </w:rPr>
              <w:br/>
              <w:t>Connection density (devices/km</w:t>
            </w:r>
            <w:r w:rsidRPr="003F3E71">
              <w:rPr>
                <w:sz w:val="20"/>
                <w:vertAlign w:val="superscript"/>
              </w:rPr>
              <w:t>2</w:t>
            </w:r>
            <w:r w:rsidRPr="003F3E71">
              <w:rPr>
                <w:sz w:val="20"/>
              </w:rPr>
              <w:t>)</w:t>
            </w:r>
            <w:r w:rsidRPr="003F3E71">
              <w:rPr>
                <w:sz w:val="20"/>
              </w:rPr>
              <w:br/>
            </w:r>
            <w:r w:rsidRPr="003F3E71">
              <w:rPr>
                <w:i/>
                <w:iCs/>
                <w:sz w:val="20"/>
              </w:rPr>
              <w:t>(4.8)</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mMTC</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Urban Macro – mMTC</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 xml:space="preserve">1 000 000 </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b/>
                <w:sz w:val="20"/>
              </w:rPr>
              <w:t>5.2.4.3.10</w:t>
            </w:r>
            <w:r w:rsidRPr="003F3E71">
              <w:rPr>
                <w:sz w:val="20"/>
              </w:rPr>
              <w:br/>
              <w:t>Energy efficiency</w:t>
            </w:r>
            <w:r w:rsidRPr="003F3E71">
              <w:rPr>
                <w:sz w:val="20"/>
              </w:rPr>
              <w:br/>
            </w:r>
            <w:r w:rsidRPr="003F3E71">
              <w:rPr>
                <w:i/>
                <w:iCs/>
                <w:sz w:val="20"/>
              </w:rPr>
              <w:t>(4.9)</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eastAsia="ja-JP"/>
              </w:rPr>
            </w:pPr>
            <w:r w:rsidRPr="003F3E71">
              <w:rPr>
                <w:sz w:val="20"/>
                <w:lang w:val="en-GB" w:eastAsia="ko-KR"/>
              </w:rPr>
              <w:t>Capability to support a high sleep ratio and long sleep duration</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lang w:val="en-GB"/>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A100EB" w:rsidP="00C86D6B">
            <w:pPr>
              <w:pStyle w:val="Tabletext"/>
              <w:rPr>
                <w:sz w:val="20"/>
              </w:rPr>
            </w:pPr>
            <w:r w:rsidRPr="00185AF7">
              <w:rPr>
                <w:rFonts w:hint="eastAsia"/>
                <w:sz w:val="20"/>
                <w:lang w:val="en-GB"/>
              </w:rPr>
              <w:sym w:font="Wingdings" w:char="F0FE"/>
            </w:r>
            <w:r w:rsidR="00ED3479" w:rsidRPr="003F3E71">
              <w:rPr>
                <w:sz w:val="20"/>
              </w:rPr>
              <w:tab/>
              <w:t>Yes</w:t>
            </w:r>
            <w:r w:rsidR="00ED3479" w:rsidRPr="003F3E71">
              <w:rPr>
                <w:sz w:val="20"/>
              </w:rPr>
              <w:br/>
            </w:r>
            <w:r w:rsidR="00ED3479" w:rsidRPr="003F3E71">
              <w:rPr>
                <w:sz w:val="20"/>
              </w:rPr>
              <w:sym w:font="Times New Roman" w:char="F072"/>
            </w:r>
            <w:r w:rsidR="00ED3479"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171143" w:rsidRDefault="00D04048" w:rsidP="00C86D6B">
            <w:pPr>
              <w:pStyle w:val="Tabletext"/>
              <w:rPr>
                <w:sz w:val="20"/>
              </w:rPr>
            </w:pPr>
            <w:r w:rsidRPr="00601283">
              <w:rPr>
                <w:sz w:val="20"/>
              </w:rPr>
              <w:t xml:space="preserve">Network side efficiency exceeding </w:t>
            </w:r>
            <w:r w:rsidR="007F6965" w:rsidRPr="00601283">
              <w:rPr>
                <w:sz w:val="20"/>
              </w:rPr>
              <w:t xml:space="preserve">98% and device side efficiency exceeding </w:t>
            </w:r>
            <w:r w:rsidR="002E3376" w:rsidRPr="00601283">
              <w:rPr>
                <w:sz w:val="20"/>
              </w:rPr>
              <w:t>95% (idle mode) and 92% (connected) mode were observed in our analysis</w:t>
            </w:r>
          </w:p>
        </w:tc>
      </w:tr>
      <w:tr w:rsidR="00ED3479" w:rsidRPr="003F3E71" w:rsidTr="00C86D6B">
        <w:trPr>
          <w:cantSplit/>
        </w:trPr>
        <w:tc>
          <w:tcPr>
            <w:tcW w:w="16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b/>
                <w:sz w:val="20"/>
              </w:rPr>
              <w:t>5.2.4.3.11</w:t>
            </w:r>
            <w:r w:rsidRPr="003F3E71">
              <w:rPr>
                <w:sz w:val="20"/>
              </w:rPr>
              <w:br/>
              <w:t>Reliability</w:t>
            </w:r>
            <w:r w:rsidRPr="003F3E71">
              <w:rPr>
                <w:sz w:val="20"/>
              </w:rPr>
              <w:br/>
            </w:r>
            <w:r w:rsidRPr="003F3E71">
              <w:rPr>
                <w:i/>
                <w:iCs/>
                <w:sz w:val="20"/>
              </w:rPr>
              <w:t>(4.10)</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URLLC</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Urban Macro –URLLC</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r w:rsidRPr="003F3E71">
              <w:rPr>
                <w:sz w:val="20"/>
              </w:rPr>
              <w:t>Uplink or Downlink</w:t>
            </w:r>
          </w:p>
          <w:p w:rsidR="00ED3479" w:rsidRPr="003F3E71" w:rsidRDefault="00ED3479" w:rsidP="00C86D6B">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sz w:val="20"/>
                <w:lang w:val="en-GB"/>
              </w:rPr>
              <w:t>1-10</w:t>
            </w:r>
            <w:r>
              <w:rPr>
                <w:sz w:val="20"/>
                <w:vertAlign w:val="superscript"/>
                <w:lang w:val="en-GB"/>
              </w:rPr>
              <w:t>−</w:t>
            </w:r>
            <w:r w:rsidRPr="003F3E71">
              <w:rPr>
                <w:sz w:val="20"/>
                <w:vertAlign w:val="superscript"/>
                <w:lang w:val="en-GB"/>
              </w:rPr>
              <w:t>5</w:t>
            </w:r>
            <w:r w:rsidRPr="003F3E71">
              <w:rPr>
                <w:sz w:val="20"/>
                <w:lang w:val="en-GB"/>
              </w:rPr>
              <w:t xml:space="preserve"> success probability of transmitting a layer</w:t>
            </w:r>
            <w:r w:rsidRPr="003F3E71">
              <w:rPr>
                <w:sz w:val="20"/>
                <w:lang w:val="en-GB" w:eastAsia="ko-KR"/>
              </w:rPr>
              <w:t xml:space="preserve"> 2 PDU </w:t>
            </w:r>
            <w:r w:rsidRPr="003F3E71">
              <w:rPr>
                <w:rFonts w:eastAsia="Malgun Gothic"/>
                <w:sz w:val="20"/>
                <w:lang w:val="en-GB" w:eastAsia="ko-KR"/>
              </w:rPr>
              <w:t>(protocol data unit)</w:t>
            </w:r>
            <w:r w:rsidRPr="003F3E71">
              <w:rPr>
                <w:sz w:val="20"/>
                <w:lang w:val="en-GB"/>
              </w:rPr>
              <w:t xml:space="preserve"> of size 32 bytes within 1 ms in channel quality of coverage edge</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lang w:val="en-GB"/>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bCs/>
                <w:sz w:val="20"/>
              </w:rPr>
            </w:pPr>
            <w:r w:rsidRPr="003F3E71">
              <w:rPr>
                <w:b/>
                <w:sz w:val="20"/>
              </w:rPr>
              <w:t>5.2.4.3.12</w:t>
            </w:r>
            <w:r w:rsidRPr="003F3E71">
              <w:rPr>
                <w:sz w:val="20"/>
              </w:rPr>
              <w:br/>
              <w:t>Mobility classes</w:t>
            </w:r>
            <w:r w:rsidRPr="003F3E71">
              <w:rPr>
                <w:sz w:val="20"/>
              </w:rPr>
              <w:br/>
            </w:r>
            <w:r w:rsidRPr="003F3E71">
              <w:rPr>
                <w:i/>
                <w:iCs/>
                <w:sz w:val="20"/>
              </w:rPr>
              <w:t>(4.11)</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r w:rsidRPr="003F3E71">
              <w:rPr>
                <w:sz w:val="20"/>
              </w:rPr>
              <w:t>Uplink</w:t>
            </w:r>
          </w:p>
          <w:p w:rsidR="00ED3479" w:rsidRPr="003F3E71" w:rsidRDefault="00ED3479" w:rsidP="00C86D6B">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Stationary, Pedestrian</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bCs/>
                <w:sz w:val="20"/>
              </w:rPr>
            </w:pP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r w:rsidRPr="003F3E71">
              <w:rPr>
                <w:sz w:val="20"/>
              </w:rPr>
              <w:t>Uplink</w:t>
            </w:r>
          </w:p>
          <w:p w:rsidR="00ED3479" w:rsidRPr="003F3E71" w:rsidRDefault="00ED3479" w:rsidP="00C86D6B">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sz w:val="20"/>
                <w:lang w:val="en-GB"/>
              </w:rPr>
              <w:t>Stationary, Pedestrian,</w:t>
            </w:r>
          </w:p>
          <w:p w:rsidR="00ED3479" w:rsidRPr="003F3E71" w:rsidRDefault="00ED3479" w:rsidP="00C86D6B">
            <w:pPr>
              <w:pStyle w:val="Tabletext"/>
              <w:rPr>
                <w:sz w:val="20"/>
                <w:lang w:val="en-GB"/>
              </w:rPr>
            </w:pPr>
            <w:r w:rsidRPr="003F3E71">
              <w:rPr>
                <w:sz w:val="20"/>
                <w:lang w:val="en-GB"/>
              </w:rPr>
              <w:t>Vehicular (up to 30 km/h)</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lang w:val="en-GB"/>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bCs/>
                <w:sz w:val="20"/>
              </w:rPr>
            </w:pP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r w:rsidRPr="003F3E71">
              <w:rPr>
                <w:sz w:val="20"/>
              </w:rPr>
              <w:t>Uplink</w:t>
            </w:r>
          </w:p>
          <w:p w:rsidR="00ED3479" w:rsidRPr="003F3E71" w:rsidRDefault="00ED3479" w:rsidP="00C86D6B">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sz w:val="20"/>
                <w:lang w:val="en-GB"/>
              </w:rPr>
              <w:t>Pedestrian,</w:t>
            </w:r>
            <w:r w:rsidRPr="003F3E71">
              <w:rPr>
                <w:sz w:val="20"/>
                <w:lang w:val="en-GB" w:eastAsia="zh-CN"/>
              </w:rPr>
              <w:t xml:space="preserve"> </w:t>
            </w:r>
            <w:r w:rsidRPr="003F3E71">
              <w:rPr>
                <w:sz w:val="20"/>
                <w:lang w:val="en-GB"/>
              </w:rPr>
              <w:t>Vehicular, High speed vehicular</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lang w:val="en-GB"/>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b/>
                <w:sz w:val="20"/>
                <w:lang w:val="en-GB" w:eastAsia="zh-CN"/>
              </w:rPr>
            </w:pPr>
            <w:r w:rsidRPr="003F3E71">
              <w:rPr>
                <w:b/>
                <w:sz w:val="20"/>
                <w:lang w:val="en-GB"/>
              </w:rPr>
              <w:t>5.2.4.3.1</w:t>
            </w:r>
            <w:r w:rsidRPr="003F3E71">
              <w:rPr>
                <w:b/>
                <w:sz w:val="20"/>
                <w:lang w:val="en-GB" w:eastAsia="zh-CN"/>
              </w:rPr>
              <w:t>3</w:t>
            </w:r>
          </w:p>
          <w:p w:rsidR="00ED3479" w:rsidRPr="003F3E71" w:rsidRDefault="00ED3479" w:rsidP="00C86D6B">
            <w:pPr>
              <w:pStyle w:val="Tabletext"/>
              <w:rPr>
                <w:sz w:val="20"/>
                <w:lang w:val="en-GB"/>
              </w:rPr>
            </w:pPr>
            <w:r w:rsidRPr="003F3E71">
              <w:rPr>
                <w:sz w:val="20"/>
                <w:lang w:val="en-GB" w:eastAsia="zh-CN"/>
              </w:rPr>
              <w:t>Mobility</w:t>
            </w:r>
            <w:r w:rsidRPr="003F3E71">
              <w:rPr>
                <w:sz w:val="20"/>
                <w:lang w:val="en-GB" w:eastAsia="zh-CN"/>
              </w:rPr>
              <w:br/>
              <w:t>Traffic channel link data rates (bit/s/Hz)</w:t>
            </w:r>
            <w:r w:rsidRPr="003F3E71">
              <w:rPr>
                <w:sz w:val="20"/>
                <w:lang w:val="en-GB" w:eastAsia="zh-CN"/>
              </w:rPr>
              <w:br/>
            </w:r>
            <w:r w:rsidRPr="003F3E71">
              <w:rPr>
                <w:i/>
                <w:iCs/>
                <w:sz w:val="20"/>
                <w:lang w:val="en-GB" w:eastAsia="zh-CN"/>
              </w:rPr>
              <w:t>(4.11)</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1.5 (10</w:t>
            </w:r>
            <w:r>
              <w:rPr>
                <w:sz w:val="20"/>
              </w:rPr>
              <w:t> </w:t>
            </w:r>
            <w:r w:rsidRPr="003F3E71">
              <w:rPr>
                <w:sz w:val="20"/>
              </w:rPr>
              <w:t>km/h)</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1.12 (30</w:t>
            </w:r>
            <w:r>
              <w:rPr>
                <w:sz w:val="20"/>
              </w:rPr>
              <w:t> </w:t>
            </w:r>
            <w:r w:rsidRPr="003F3E71">
              <w:rPr>
                <w:sz w:val="20"/>
              </w:rPr>
              <w:t>km/h)</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Rural – eMBB</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0.8 (120</w:t>
            </w:r>
            <w:r>
              <w:rPr>
                <w:sz w:val="20"/>
              </w:rPr>
              <w:t> </w:t>
            </w:r>
            <w:r w:rsidRPr="003F3E71">
              <w:rPr>
                <w:sz w:val="20"/>
              </w:rPr>
              <w:t>km/h)</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0.45 (500</w:t>
            </w:r>
            <w:r>
              <w:rPr>
                <w:sz w:val="20"/>
              </w:rPr>
              <w:t> </w:t>
            </w:r>
            <w:r w:rsidRPr="003F3E71">
              <w:rPr>
                <w:sz w:val="20"/>
              </w:rPr>
              <w:t>km/h)</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b/>
                <w:sz w:val="20"/>
              </w:rPr>
              <w:t>5.2.4.3.14</w:t>
            </w:r>
            <w:r w:rsidRPr="003F3E71">
              <w:rPr>
                <w:bCs/>
                <w:sz w:val="20"/>
              </w:rPr>
              <w:br/>
            </w:r>
            <w:r w:rsidRPr="003F3E71">
              <w:rPr>
                <w:sz w:val="20"/>
              </w:rPr>
              <w:t xml:space="preserve">Mobility interruption time (ms) </w:t>
            </w:r>
            <w:r w:rsidRPr="003F3E71">
              <w:rPr>
                <w:sz w:val="20"/>
              </w:rPr>
              <w:br/>
            </w:r>
            <w:r w:rsidRPr="003F3E71">
              <w:rPr>
                <w:i/>
                <w:iCs/>
                <w:sz w:val="20"/>
              </w:rPr>
              <w:t>(4.12)</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eMBB and URLLC</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0</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i/>
                <w:iCs/>
                <w:sz w:val="20"/>
              </w:rPr>
            </w:pPr>
            <w:r w:rsidRPr="003F3E71">
              <w:rPr>
                <w:b/>
                <w:sz w:val="20"/>
              </w:rPr>
              <w:t>5.2.4.3.15</w:t>
            </w:r>
            <w:r w:rsidRPr="003F3E71">
              <w:rPr>
                <w:sz w:val="20"/>
              </w:rPr>
              <w:br/>
              <w:t xml:space="preserve">Bandwidth </w:t>
            </w:r>
            <w:r w:rsidRPr="003F3E71">
              <w:rPr>
                <w:sz w:val="20"/>
                <w:lang w:eastAsia="ja-JP"/>
              </w:rPr>
              <w:t>and Scalability</w:t>
            </w:r>
            <w:r w:rsidRPr="003F3E71">
              <w:rPr>
                <w:sz w:val="20"/>
              </w:rPr>
              <w:br/>
            </w:r>
            <w:r w:rsidRPr="003F3E71">
              <w:rPr>
                <w:i/>
                <w:iCs/>
                <w:sz w:val="20"/>
              </w:rPr>
              <w:t>(4.13)</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t>At least 100</w:t>
            </w:r>
            <w:r>
              <w:rPr>
                <w:sz w:val="20"/>
              </w:rPr>
              <w:t> </w:t>
            </w:r>
            <w:r w:rsidRPr="003F3E71">
              <w:rPr>
                <w:sz w:val="20"/>
              </w:rPr>
              <w:t>MHz</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i/>
                <w:iCs/>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eastAsia="ja-JP"/>
              </w:rPr>
            </w:pPr>
            <w:r w:rsidRPr="003F3E71">
              <w:rPr>
                <w:sz w:val="20"/>
                <w:lang w:eastAsia="ja-JP"/>
              </w:rPr>
              <w:t>Up to 1 GHz</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i/>
                <w:iCs/>
                <w:sz w:val="20"/>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D3479" w:rsidRPr="003F3E71" w:rsidRDefault="00ED3479" w:rsidP="00C86D6B">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lang w:val="en-GB"/>
              </w:rPr>
            </w:pPr>
            <w:r w:rsidRPr="003F3E71">
              <w:rPr>
                <w:rFonts w:ascii="TimesNewRoman" w:hAnsi="TimesNewRoman" w:cs="TimesNewRoman"/>
                <w:sz w:val="20"/>
                <w:lang w:val="en-GB" w:eastAsia="zh-CN"/>
              </w:rPr>
              <w:t>Support of multiple different bandwidth values</w:t>
            </w:r>
            <w:r w:rsidRPr="003F3E71">
              <w:rPr>
                <w:rFonts w:ascii="TimesNewRoman" w:hAnsi="TimesNewRoman" w:cs="TimesNewRoman"/>
                <w:sz w:val="20"/>
                <w:vertAlign w:val="superscript"/>
                <w:lang w:val="en-GB" w:eastAsia="zh-CN"/>
              </w:rPr>
              <w:t>(4)</w: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ED3479" w:rsidP="00C86D6B">
            <w:pPr>
              <w:pStyle w:val="Tabletext"/>
              <w:rPr>
                <w:sz w:val="20"/>
                <w:lang w:val="en-GB"/>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D3479" w:rsidRPr="003F3E71" w:rsidRDefault="00ED3479" w:rsidP="00C86D6B">
            <w:pPr>
              <w:pStyle w:val="Tabletext"/>
              <w:rPr>
                <w:sz w:val="20"/>
              </w:rPr>
            </w:pPr>
            <w:r w:rsidRPr="003F3E71">
              <w:rPr>
                <w:sz w:val="20"/>
              </w:rPr>
              <w:sym w:font="Times New Roman" w:char="F072"/>
            </w:r>
            <w:r w:rsidRPr="003F3E71">
              <w:rPr>
                <w:sz w:val="20"/>
              </w:rPr>
              <w:tab/>
              <w:t>Yes</w:t>
            </w:r>
            <w:r w:rsidRPr="003F3E71">
              <w:rPr>
                <w:sz w:val="20"/>
              </w:rPr>
              <w:br/>
            </w:r>
            <w:r w:rsidRPr="003F3E71">
              <w:rPr>
                <w:sz w:val="20"/>
              </w:rPr>
              <w:sym w:font="Times New Roman" w:char="F072"/>
            </w:r>
            <w:r w:rsidRPr="003F3E71">
              <w:rPr>
                <w:sz w:val="20"/>
              </w:rPr>
              <w:tab/>
              <w:t>No</w:t>
            </w:r>
          </w:p>
        </w:tc>
        <w:tc>
          <w:tcPr>
            <w:tcW w:w="3196" w:type="dxa"/>
            <w:tcBorders>
              <w:top w:val="single" w:sz="4" w:space="0" w:color="auto"/>
              <w:left w:val="single" w:sz="4" w:space="0" w:color="auto"/>
              <w:bottom w:val="single" w:sz="4" w:space="0" w:color="auto"/>
              <w:right w:val="single" w:sz="4" w:space="0" w:color="auto"/>
            </w:tcBorders>
            <w:shd w:val="clear" w:color="auto" w:fill="FFFFFF"/>
          </w:tcPr>
          <w:p w:rsidR="00ED3479" w:rsidRPr="003F3E71" w:rsidRDefault="00FD66C2" w:rsidP="00C86D6B">
            <w:pPr>
              <w:pStyle w:val="Tabletext"/>
              <w:rPr>
                <w:sz w:val="20"/>
              </w:rPr>
            </w:pPr>
            <w:r w:rsidRPr="003A5E59">
              <w:rPr>
                <w:b/>
                <w:i/>
                <w:sz w:val="20"/>
              </w:rPr>
              <w:t>TBD</w:t>
            </w:r>
          </w:p>
        </w:tc>
      </w:tr>
      <w:tr w:rsidR="00ED3479" w:rsidRPr="003F3E71" w:rsidTr="00C86D6B">
        <w:trPr>
          <w:cantSplit/>
        </w:trPr>
        <w:tc>
          <w:tcPr>
            <w:tcW w:w="12055" w:type="dxa"/>
            <w:gridSpan w:val="8"/>
            <w:tcBorders>
              <w:top w:val="single" w:sz="4" w:space="0" w:color="auto"/>
              <w:left w:val="nil"/>
              <w:bottom w:val="nil"/>
              <w:right w:val="nil"/>
            </w:tcBorders>
            <w:shd w:val="clear" w:color="auto" w:fill="FFFFFF"/>
            <w:hideMark/>
          </w:tcPr>
          <w:p w:rsidR="00ED3479" w:rsidRPr="003F3E71" w:rsidRDefault="00ED3479" w:rsidP="00C86D6B">
            <w:pPr>
              <w:pStyle w:val="Tablelegend"/>
              <w:rPr>
                <w:sz w:val="20"/>
                <w:lang w:val="en-GB"/>
              </w:rPr>
            </w:pPr>
            <w:r w:rsidRPr="003F3E71">
              <w:rPr>
                <w:sz w:val="20"/>
                <w:vertAlign w:val="superscript"/>
                <w:lang w:val="en-GB"/>
              </w:rPr>
              <w:t>(1)</w:t>
            </w:r>
            <w:r w:rsidRPr="003F3E71">
              <w:rPr>
                <w:sz w:val="20"/>
                <w:lang w:val="en-GB"/>
              </w:rPr>
              <w:t xml:space="preserve"> </w:t>
            </w:r>
            <w:r w:rsidRPr="003F3E71">
              <w:rPr>
                <w:sz w:val="20"/>
                <w:lang w:val="en-GB"/>
              </w:rPr>
              <w:tab/>
              <w:t>As defined in Report ITU-R M.2410-0.</w:t>
            </w:r>
          </w:p>
          <w:p w:rsidR="00ED3479" w:rsidRPr="003F3E71" w:rsidRDefault="00ED3479" w:rsidP="00C86D6B">
            <w:pPr>
              <w:pStyle w:val="Tablelegend"/>
              <w:rPr>
                <w:sz w:val="20"/>
                <w:lang w:val="en-GB"/>
              </w:rPr>
            </w:pPr>
            <w:r w:rsidRPr="003F3E71">
              <w:rPr>
                <w:sz w:val="20"/>
                <w:vertAlign w:val="superscript"/>
                <w:lang w:val="en-GB"/>
              </w:rPr>
              <w:t>(2)</w:t>
            </w:r>
            <w:r w:rsidRPr="003F3E71">
              <w:rPr>
                <w:sz w:val="20"/>
                <w:lang w:val="en-GB"/>
              </w:rPr>
              <w:t xml:space="preserve"> </w:t>
            </w:r>
            <w:r w:rsidRPr="003F3E71">
              <w:rPr>
                <w:sz w:val="20"/>
                <w:lang w:val="en-GB"/>
              </w:rPr>
              <w:tab/>
              <w:t>According to the evaluation methodology specified in Report ITU-R M.2412-0.</w:t>
            </w:r>
          </w:p>
          <w:p w:rsidR="00ED3479" w:rsidRPr="003F3E71" w:rsidRDefault="00ED3479" w:rsidP="00C86D6B">
            <w:pPr>
              <w:pStyle w:val="Tablelegend"/>
              <w:rPr>
                <w:sz w:val="20"/>
                <w:lang w:val="en-GB"/>
              </w:rPr>
            </w:pPr>
            <w:r w:rsidRPr="003F3E71">
              <w:rPr>
                <w:sz w:val="20"/>
                <w:vertAlign w:val="superscript"/>
                <w:lang w:val="en-GB"/>
              </w:rPr>
              <w:t>(3)</w:t>
            </w:r>
            <w:r w:rsidRPr="003F3E71">
              <w:rPr>
                <w:sz w:val="20"/>
                <w:lang w:val="en-GB"/>
              </w:rPr>
              <w:tab/>
            </w:r>
            <w:r w:rsidRPr="003F3E71">
              <w:rPr>
                <w:rFonts w:eastAsia="Malgun Gothic"/>
                <w:sz w:val="20"/>
                <w:lang w:val="en-GB"/>
              </w:rPr>
              <w:t>Proponents should report their selected evaluation methodology of the Connection density, the channel model variant used, and evaluation configuration(s) with their exact values (e.g. antenna element number, bandwidth, etc.) per test environment</w:t>
            </w:r>
            <w:r w:rsidRPr="003F3E71">
              <w:rPr>
                <w:sz w:val="20"/>
                <w:lang w:val="en-GB" w:eastAsia="ja-JP"/>
              </w:rPr>
              <w:t>, and could provide other relevant information as well</w:t>
            </w:r>
            <w:r w:rsidRPr="003F3E71">
              <w:rPr>
                <w:rFonts w:eastAsia="Malgun Gothic"/>
                <w:sz w:val="20"/>
                <w:lang w:val="en-GB"/>
              </w:rPr>
              <w:t>. For details, refer to Report ITU-R M.2412-0, in particular, § 7.1.3 for the evaluation methodologies, § 8.4 for the evaluation configurations per each test environment, and Annex 1 on the channel model variants.</w:t>
            </w:r>
          </w:p>
          <w:p w:rsidR="00ED3479" w:rsidRPr="003F3E71" w:rsidRDefault="00ED3479" w:rsidP="00C86D6B">
            <w:pPr>
              <w:pStyle w:val="Tablelegend"/>
              <w:rPr>
                <w:rFonts w:eastAsia="Malgun Gothic"/>
                <w:sz w:val="20"/>
                <w:lang w:val="en-GB"/>
              </w:rPr>
            </w:pPr>
            <w:r w:rsidRPr="003F3E71">
              <w:rPr>
                <w:rFonts w:eastAsia="Malgun Gothic"/>
                <w:sz w:val="20"/>
                <w:vertAlign w:val="superscript"/>
                <w:lang w:val="en-GB"/>
              </w:rPr>
              <w:t>(4)</w:t>
            </w:r>
            <w:r w:rsidRPr="003F3E71">
              <w:rPr>
                <w:rFonts w:eastAsia="Malgun Gothic"/>
                <w:sz w:val="20"/>
                <w:lang w:val="en-GB"/>
              </w:rPr>
              <w:tab/>
              <w:t>Refer to § 7.3.1 of Report ITU-R M.2412-0.</w:t>
            </w:r>
          </w:p>
        </w:tc>
      </w:tr>
    </w:tbl>
    <w:p w:rsidR="00ED3479" w:rsidRDefault="00C86D6B" w:rsidP="00ED3479">
      <w:pPr>
        <w:pStyle w:val="Tablefin"/>
        <w:rPr>
          <w:rStyle w:val="Heading1CharChar"/>
          <w:rFonts w:eastAsia="Batang"/>
          <w:b w:val="0"/>
        </w:rPr>
      </w:pPr>
      <w:r>
        <w:rPr>
          <w:rStyle w:val="Heading1CharChar"/>
          <w:rFonts w:eastAsia="Batang"/>
          <w:b w:val="0"/>
        </w:rPr>
        <w:br w:type="textWrapping" w:clear="all"/>
      </w:r>
    </w:p>
    <w:p w:rsidR="00ED3479" w:rsidRDefault="00565FDB" w:rsidP="00ED3479">
      <w:r>
        <w:rPr>
          <w:lang w:val="en-GB"/>
        </w:rPr>
        <w:t>#### Section above is reproduced from M.2411 ###</w:t>
      </w:r>
    </w:p>
    <w:p w:rsidR="00464333" w:rsidRDefault="00464333" w:rsidP="001B24E7">
      <w:pPr>
        <w:sectPr w:rsidR="00464333" w:rsidSect="001B24E7">
          <w:pgSz w:w="16838" w:h="11906" w:orient="landscape" w:code="9"/>
          <w:pgMar w:top="1440" w:right="1152" w:bottom="1152" w:left="1152" w:header="850" w:footer="850" w:gutter="0"/>
          <w:cols w:space="720"/>
          <w:docGrid w:type="lines" w:linePitch="360"/>
        </w:sectPr>
      </w:pPr>
    </w:p>
    <w:p w:rsidR="00EE0FE6" w:rsidRPr="000E5B29" w:rsidRDefault="00EE0FE6" w:rsidP="00EE0FE6">
      <w:pPr>
        <w:rPr>
          <w:b/>
          <w:lang w:val="en-GB"/>
        </w:rPr>
      </w:pPr>
      <w:r w:rsidRPr="000E5B29">
        <w:rPr>
          <w:b/>
          <w:lang w:val="en-GB"/>
        </w:rPr>
        <w:t>3.2</w:t>
      </w:r>
      <w:r w:rsidRPr="000E5B29">
        <w:rPr>
          <w:b/>
          <w:lang w:val="en-GB"/>
        </w:rPr>
        <w:tab/>
        <w:t xml:space="preserve">Summary </w:t>
      </w:r>
      <w:r w:rsidR="00B65092" w:rsidRPr="000E5B29">
        <w:rPr>
          <w:b/>
          <w:lang w:val="en-GB"/>
        </w:rPr>
        <w:t xml:space="preserve">of </w:t>
      </w:r>
      <w:r w:rsidRPr="000E5B29">
        <w:rPr>
          <w:b/>
          <w:lang w:val="en-GB"/>
        </w:rPr>
        <w:t>the Initial Evaluation Report</w:t>
      </w:r>
    </w:p>
    <w:p w:rsidR="00EE0FE6" w:rsidRPr="000E5B29" w:rsidRDefault="00EE0FE6" w:rsidP="00EE0FE6">
      <w:pPr>
        <w:rPr>
          <w:lang w:val="en-GB"/>
        </w:rPr>
      </w:pPr>
      <w:r w:rsidRPr="000E5B29">
        <w:rPr>
          <w:lang w:val="en-GB"/>
        </w:rPr>
        <w:t>Which test environments have been considered in the Initial Evaluation Report? What is outcome of the evaluation?</w:t>
      </w:r>
    </w:p>
    <w:p w:rsidR="00EE0FE6" w:rsidRPr="000E5B29" w:rsidRDefault="00EE0FE6" w:rsidP="00EE0FE6">
      <w:pPr>
        <w:rPr>
          <w:lang w:val="en-G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365"/>
      </w:tblGrid>
      <w:tr w:rsidR="00EE0FE6" w:rsidRPr="00EE0FE6" w:rsidTr="005E5A62">
        <w:tc>
          <w:tcPr>
            <w:tcW w:w="2722" w:type="dxa"/>
          </w:tcPr>
          <w:p w:rsidR="00EE0FE6" w:rsidRPr="000E5B29" w:rsidRDefault="00EE0FE6" w:rsidP="00EE0FE6">
            <w:pPr>
              <w:rPr>
                <w:lang w:val="en-GB"/>
              </w:rPr>
            </w:pPr>
            <w:r w:rsidRPr="000E5B29">
              <w:rPr>
                <w:lang w:val="en-GB"/>
              </w:rPr>
              <w:t>Test environment</w:t>
            </w:r>
          </w:p>
        </w:tc>
        <w:tc>
          <w:tcPr>
            <w:tcW w:w="6492" w:type="dxa"/>
          </w:tcPr>
          <w:p w:rsidR="00EE0FE6" w:rsidRPr="000E5B29" w:rsidRDefault="00EE0FE6" w:rsidP="00EE0FE6">
            <w:pPr>
              <w:rPr>
                <w:lang w:val="en-GB"/>
              </w:rPr>
            </w:pPr>
            <w:r w:rsidRPr="000E5B29">
              <w:rPr>
                <w:lang w:val="en-GB"/>
              </w:rPr>
              <w:t>Does the Evaluation Report indicate that the minimum technical performance requirements are met in the test environment?</w:t>
            </w:r>
          </w:p>
        </w:tc>
      </w:tr>
      <w:tr w:rsidR="00EE0FE6" w:rsidRPr="00EE0FE6" w:rsidTr="005E5A62">
        <w:tc>
          <w:tcPr>
            <w:tcW w:w="2722" w:type="dxa"/>
          </w:tcPr>
          <w:p w:rsidR="00EE0FE6" w:rsidRPr="000E5B29" w:rsidRDefault="001A0C65" w:rsidP="00EE0FE6">
            <w:pPr>
              <w:rPr>
                <w:lang w:val="en-GB"/>
              </w:rPr>
            </w:pPr>
            <w:r w:rsidRPr="00EE0FE6">
              <w:rPr>
                <w:rFonts w:hint="eastAsia"/>
                <w:lang w:val="en-GB"/>
              </w:rPr>
              <w:sym w:font="Wingdings" w:char="F0FE"/>
            </w:r>
            <w:r w:rsidR="00EE0FE6" w:rsidRPr="000E5B29">
              <w:rPr>
                <w:lang w:val="en-GB"/>
              </w:rPr>
              <w:t xml:space="preserve"> Indoor Hotspot-eMBB</w:t>
            </w:r>
          </w:p>
        </w:tc>
        <w:tc>
          <w:tcPr>
            <w:tcW w:w="6492" w:type="dxa"/>
          </w:tcPr>
          <w:p w:rsidR="00EE0FE6" w:rsidRPr="000E5B29" w:rsidRDefault="00EE0FE6" w:rsidP="00EE0FE6">
            <w:pPr>
              <w:rPr>
                <w:lang w:val="en-GB"/>
              </w:rPr>
            </w:pPr>
            <w:r w:rsidRPr="00EE0FE6">
              <w:rPr>
                <w:lang w:val="en-GB"/>
              </w:rPr>
              <w:sym w:font="Wingdings" w:char="F0A8"/>
            </w:r>
            <w:r w:rsidRPr="000E5B29">
              <w:rPr>
                <w:lang w:val="en-GB"/>
              </w:rPr>
              <w:t xml:space="preserve"> Yes</w:t>
            </w:r>
            <w:r w:rsidRPr="000E5B29">
              <w:rPr>
                <w:lang w:val="en-GB"/>
              </w:rPr>
              <w:tab/>
            </w:r>
            <w:r w:rsidRPr="00EE0FE6">
              <w:rPr>
                <w:lang w:val="en-GB"/>
              </w:rPr>
              <w:sym w:font="Wingdings" w:char="F0A8"/>
            </w:r>
            <w:r w:rsidRPr="000E5B29">
              <w:rPr>
                <w:lang w:val="en-GB"/>
              </w:rPr>
              <w:t xml:space="preserve"> No</w:t>
            </w:r>
            <w:r w:rsidRPr="000E5B29">
              <w:rPr>
                <w:lang w:val="en-GB"/>
              </w:rPr>
              <w:tab/>
            </w:r>
            <w:r w:rsidR="001A0C65" w:rsidRPr="00EE0FE6">
              <w:rPr>
                <w:rFonts w:hint="eastAsia"/>
                <w:lang w:val="en-GB"/>
              </w:rPr>
              <w:sym w:font="Wingdings" w:char="F0FE"/>
            </w:r>
            <w:r w:rsidRPr="000E5B29">
              <w:rPr>
                <w:lang w:val="en-GB"/>
              </w:rPr>
              <w:t xml:space="preserve"> Partial evaluation</w:t>
            </w:r>
          </w:p>
        </w:tc>
      </w:tr>
      <w:tr w:rsidR="00EE0FE6" w:rsidRPr="00EE0FE6" w:rsidTr="005E5A62">
        <w:tc>
          <w:tcPr>
            <w:tcW w:w="2722" w:type="dxa"/>
          </w:tcPr>
          <w:p w:rsidR="00EE0FE6" w:rsidRPr="000E5B29" w:rsidRDefault="00EE0FE6" w:rsidP="00EE0FE6">
            <w:pPr>
              <w:rPr>
                <w:lang w:val="en-GB"/>
              </w:rPr>
            </w:pPr>
            <w:r w:rsidRPr="00EE0FE6">
              <w:rPr>
                <w:rFonts w:hint="eastAsia"/>
                <w:lang w:val="en-GB"/>
              </w:rPr>
              <w:sym w:font="Wingdings" w:char="F0FE"/>
            </w:r>
            <w:r w:rsidRPr="000E5B29">
              <w:rPr>
                <w:lang w:val="en-GB"/>
              </w:rPr>
              <w:t xml:space="preserve"> Dense Urban-eMBB</w:t>
            </w:r>
          </w:p>
        </w:tc>
        <w:tc>
          <w:tcPr>
            <w:tcW w:w="6492" w:type="dxa"/>
          </w:tcPr>
          <w:p w:rsidR="00EE0FE6" w:rsidRPr="000E5B29" w:rsidRDefault="00EE0FE6" w:rsidP="00EE0FE6">
            <w:pPr>
              <w:rPr>
                <w:lang w:val="en-GB"/>
              </w:rPr>
            </w:pPr>
            <w:r w:rsidRPr="00EE0FE6">
              <w:rPr>
                <w:lang w:val="en-GB"/>
              </w:rPr>
              <w:sym w:font="Wingdings" w:char="F0A8"/>
            </w:r>
            <w:r w:rsidRPr="000E5B29">
              <w:rPr>
                <w:lang w:val="en-GB"/>
              </w:rPr>
              <w:t xml:space="preserve"> Yes</w:t>
            </w:r>
            <w:r w:rsidRPr="000E5B29">
              <w:rPr>
                <w:lang w:val="en-GB"/>
              </w:rPr>
              <w:tab/>
            </w:r>
            <w:r w:rsidRPr="00EE0FE6">
              <w:rPr>
                <w:lang w:val="en-GB"/>
              </w:rPr>
              <w:sym w:font="Wingdings" w:char="F0A8"/>
            </w:r>
            <w:r w:rsidRPr="000E5B29">
              <w:rPr>
                <w:lang w:val="en-GB"/>
              </w:rPr>
              <w:t xml:space="preserve"> No</w:t>
            </w:r>
            <w:r w:rsidRPr="000E5B29">
              <w:rPr>
                <w:lang w:val="en-GB"/>
              </w:rPr>
              <w:tab/>
            </w:r>
            <w:r w:rsidRPr="00EE0FE6">
              <w:rPr>
                <w:rFonts w:hint="eastAsia"/>
                <w:lang w:val="en-GB"/>
              </w:rPr>
              <w:sym w:font="Wingdings" w:char="F0FE"/>
            </w:r>
            <w:r w:rsidRPr="000E5B29">
              <w:rPr>
                <w:lang w:val="en-GB"/>
              </w:rPr>
              <w:t xml:space="preserve"> Partial evaluation</w:t>
            </w:r>
          </w:p>
        </w:tc>
      </w:tr>
      <w:tr w:rsidR="00EE0FE6" w:rsidRPr="00EE0FE6" w:rsidTr="005E5A62">
        <w:tc>
          <w:tcPr>
            <w:tcW w:w="2722" w:type="dxa"/>
          </w:tcPr>
          <w:p w:rsidR="00EE0FE6" w:rsidRPr="00EE0FE6" w:rsidRDefault="00EE0FE6" w:rsidP="00EE0FE6">
            <w:pPr>
              <w:rPr>
                <w:lang w:val="en-GB"/>
              </w:rPr>
            </w:pPr>
            <w:r w:rsidRPr="00EE0FE6">
              <w:rPr>
                <w:rFonts w:hint="eastAsia"/>
                <w:lang w:val="en-GB"/>
              </w:rPr>
              <w:sym w:font="Wingdings" w:char="F0FE"/>
            </w:r>
            <w:r w:rsidRPr="000E5B29">
              <w:rPr>
                <w:lang w:val="en-GB"/>
              </w:rPr>
              <w:t xml:space="preserve"> Rural-eMBB</w:t>
            </w:r>
          </w:p>
        </w:tc>
        <w:tc>
          <w:tcPr>
            <w:tcW w:w="6492" w:type="dxa"/>
          </w:tcPr>
          <w:p w:rsidR="00EE0FE6" w:rsidRPr="000E5B29" w:rsidRDefault="00EE0FE6" w:rsidP="00EE0FE6">
            <w:pPr>
              <w:rPr>
                <w:lang w:val="en-GB"/>
              </w:rPr>
            </w:pPr>
            <w:r w:rsidRPr="00EE0FE6">
              <w:rPr>
                <w:lang w:val="en-GB"/>
              </w:rPr>
              <w:sym w:font="Wingdings" w:char="F0A8"/>
            </w:r>
            <w:r w:rsidRPr="000E5B29">
              <w:rPr>
                <w:lang w:val="en-GB"/>
              </w:rPr>
              <w:t xml:space="preserve"> Yes</w:t>
            </w:r>
            <w:r w:rsidRPr="000E5B29">
              <w:rPr>
                <w:lang w:val="en-GB"/>
              </w:rPr>
              <w:tab/>
            </w:r>
            <w:r w:rsidRPr="00EE0FE6">
              <w:rPr>
                <w:lang w:val="en-GB"/>
              </w:rPr>
              <w:sym w:font="Wingdings" w:char="F0A8"/>
            </w:r>
            <w:r w:rsidRPr="000E5B29">
              <w:rPr>
                <w:lang w:val="en-GB"/>
              </w:rPr>
              <w:t xml:space="preserve"> No</w:t>
            </w:r>
            <w:r w:rsidRPr="000E5B29">
              <w:rPr>
                <w:lang w:val="en-GB"/>
              </w:rPr>
              <w:tab/>
            </w:r>
            <w:r w:rsidRPr="00EE0FE6">
              <w:rPr>
                <w:rFonts w:hint="eastAsia"/>
                <w:lang w:val="en-GB"/>
              </w:rPr>
              <w:sym w:font="Wingdings" w:char="F0FE"/>
            </w:r>
            <w:r w:rsidRPr="000E5B29">
              <w:rPr>
                <w:lang w:val="en-GB"/>
              </w:rPr>
              <w:t xml:space="preserve"> Partial evaluation</w:t>
            </w:r>
          </w:p>
        </w:tc>
      </w:tr>
      <w:tr w:rsidR="00EE0FE6" w:rsidRPr="00EE0FE6" w:rsidTr="005E5A62">
        <w:tc>
          <w:tcPr>
            <w:tcW w:w="2722" w:type="dxa"/>
          </w:tcPr>
          <w:p w:rsidR="00EE0FE6" w:rsidRPr="000E5B29" w:rsidRDefault="00EE0FE6" w:rsidP="00EE0FE6">
            <w:pPr>
              <w:rPr>
                <w:lang w:val="en-GB"/>
              </w:rPr>
            </w:pPr>
            <w:r w:rsidRPr="00EE0FE6">
              <w:rPr>
                <w:lang w:val="en-GB"/>
              </w:rPr>
              <w:sym w:font="Wingdings" w:char="F0A8"/>
            </w:r>
            <w:r w:rsidRPr="000E5B29">
              <w:rPr>
                <w:lang w:val="en-GB"/>
              </w:rPr>
              <w:t xml:space="preserve"> Urban Macro–mMTC</w:t>
            </w:r>
          </w:p>
        </w:tc>
        <w:tc>
          <w:tcPr>
            <w:tcW w:w="6492" w:type="dxa"/>
          </w:tcPr>
          <w:p w:rsidR="00EE0FE6" w:rsidRPr="000E5B29" w:rsidRDefault="00EE0FE6" w:rsidP="00EE0FE6">
            <w:pPr>
              <w:rPr>
                <w:lang w:val="en-GB"/>
              </w:rPr>
            </w:pPr>
            <w:r w:rsidRPr="00EE0FE6">
              <w:rPr>
                <w:lang w:val="en-GB"/>
              </w:rPr>
              <w:sym w:font="Wingdings" w:char="F0A8"/>
            </w:r>
            <w:r w:rsidRPr="000E5B29">
              <w:rPr>
                <w:lang w:val="en-GB"/>
              </w:rPr>
              <w:t xml:space="preserve"> Yes</w:t>
            </w:r>
            <w:r w:rsidRPr="000E5B29">
              <w:rPr>
                <w:lang w:val="en-GB"/>
              </w:rPr>
              <w:tab/>
            </w:r>
            <w:r w:rsidRPr="00EE0FE6">
              <w:rPr>
                <w:lang w:val="en-GB"/>
              </w:rPr>
              <w:sym w:font="Wingdings" w:char="F0A8"/>
            </w:r>
            <w:r w:rsidRPr="000E5B29">
              <w:rPr>
                <w:lang w:val="en-GB"/>
              </w:rPr>
              <w:t xml:space="preserve"> No</w:t>
            </w:r>
            <w:r w:rsidRPr="000E5B29">
              <w:rPr>
                <w:lang w:val="en-GB"/>
              </w:rPr>
              <w:tab/>
            </w:r>
            <w:r w:rsidRPr="00EE0FE6">
              <w:rPr>
                <w:lang w:val="en-GB"/>
              </w:rPr>
              <w:sym w:font="Wingdings" w:char="F0A8"/>
            </w:r>
            <w:r w:rsidRPr="000E5B29">
              <w:rPr>
                <w:lang w:val="en-GB"/>
              </w:rPr>
              <w:t xml:space="preserve"> Partial evaluation</w:t>
            </w:r>
          </w:p>
        </w:tc>
      </w:tr>
      <w:tr w:rsidR="00EE0FE6" w:rsidRPr="00EE0FE6" w:rsidTr="005E5A62">
        <w:tc>
          <w:tcPr>
            <w:tcW w:w="2722" w:type="dxa"/>
          </w:tcPr>
          <w:p w:rsidR="00EE0FE6" w:rsidRPr="000E5B29" w:rsidRDefault="00EE0FE6" w:rsidP="00EE0FE6">
            <w:pPr>
              <w:rPr>
                <w:lang w:val="en-GB"/>
              </w:rPr>
            </w:pPr>
            <w:r w:rsidRPr="00EE0FE6">
              <w:rPr>
                <w:lang w:val="en-GB"/>
              </w:rPr>
              <w:sym w:font="Wingdings" w:char="F0A8"/>
            </w:r>
            <w:r w:rsidRPr="000E5B29">
              <w:rPr>
                <w:lang w:val="en-GB"/>
              </w:rPr>
              <w:t xml:space="preserve"> Urban Macro–URLLC</w:t>
            </w:r>
          </w:p>
        </w:tc>
        <w:tc>
          <w:tcPr>
            <w:tcW w:w="6492" w:type="dxa"/>
          </w:tcPr>
          <w:p w:rsidR="00EE0FE6" w:rsidRPr="000E5B29" w:rsidRDefault="00EE0FE6" w:rsidP="00EE0FE6">
            <w:pPr>
              <w:rPr>
                <w:lang w:val="en-GB"/>
              </w:rPr>
            </w:pPr>
            <w:r w:rsidRPr="00EE0FE6">
              <w:rPr>
                <w:lang w:val="en-GB"/>
              </w:rPr>
              <w:sym w:font="Wingdings" w:char="F0A8"/>
            </w:r>
            <w:r w:rsidRPr="000E5B29">
              <w:rPr>
                <w:lang w:val="en-GB"/>
              </w:rPr>
              <w:t xml:space="preserve"> Yes</w:t>
            </w:r>
            <w:r w:rsidRPr="000E5B29">
              <w:rPr>
                <w:lang w:val="en-GB"/>
              </w:rPr>
              <w:tab/>
            </w:r>
            <w:r w:rsidRPr="00EE0FE6">
              <w:rPr>
                <w:lang w:val="en-GB"/>
              </w:rPr>
              <w:sym w:font="Wingdings" w:char="F0A8"/>
            </w:r>
            <w:r w:rsidRPr="000E5B29">
              <w:rPr>
                <w:lang w:val="en-GB"/>
              </w:rPr>
              <w:t xml:space="preserve"> No</w:t>
            </w:r>
            <w:r w:rsidRPr="000E5B29">
              <w:rPr>
                <w:lang w:val="en-GB"/>
              </w:rPr>
              <w:tab/>
            </w:r>
            <w:r w:rsidRPr="00EE0FE6">
              <w:rPr>
                <w:lang w:val="en-GB"/>
              </w:rPr>
              <w:sym w:font="Wingdings" w:char="F0A8"/>
            </w:r>
            <w:r w:rsidRPr="000E5B29">
              <w:rPr>
                <w:lang w:val="en-GB"/>
              </w:rPr>
              <w:t xml:space="preserve"> Partial evaluation</w:t>
            </w:r>
          </w:p>
        </w:tc>
      </w:tr>
    </w:tbl>
    <w:p w:rsidR="00EE0FE6" w:rsidRPr="000E5B29" w:rsidRDefault="00EE0FE6" w:rsidP="00EE0FE6">
      <w:pPr>
        <w:rPr>
          <w:lang w:val="en-GB"/>
        </w:rPr>
      </w:pPr>
    </w:p>
    <w:p w:rsidR="00EE0FE6" w:rsidRPr="000E5B29" w:rsidRDefault="00EE0FE6" w:rsidP="00EE0FE6">
      <w:pPr>
        <w:rPr>
          <w:b/>
          <w:lang w:val="en-GB"/>
        </w:rPr>
      </w:pPr>
      <w:r w:rsidRPr="000E5B29">
        <w:rPr>
          <w:b/>
          <w:lang w:val="en-GB"/>
        </w:rPr>
        <w:t>3.</w:t>
      </w:r>
      <w:r w:rsidR="006E249E">
        <w:rPr>
          <w:b/>
          <w:lang w:val="en-GB"/>
        </w:rPr>
        <w:t>3</w:t>
      </w:r>
      <w:r w:rsidRPr="000E5B29">
        <w:rPr>
          <w:b/>
          <w:lang w:val="en-GB"/>
        </w:rPr>
        <w:tab/>
        <w:t>Additional evaluation methodologies and assumptions</w:t>
      </w:r>
    </w:p>
    <w:p w:rsidR="00EE0FE6" w:rsidRPr="000E5B29" w:rsidRDefault="00EE0FE6" w:rsidP="00EE0FE6">
      <w:pPr>
        <w:rPr>
          <w:lang w:val="en-GB"/>
        </w:rPr>
      </w:pPr>
      <w:r w:rsidRPr="000E5B29">
        <w:rPr>
          <w:lang w:val="en-GB"/>
        </w:rPr>
        <w:t>Have any additional evaluation methodologies or assumptions that had not been included in the Report ITU-R M.2412-0 been used in evaluation?</w:t>
      </w:r>
    </w:p>
    <w:p w:rsidR="00EE0FE6" w:rsidRPr="000E5B29" w:rsidRDefault="00EE0FE6" w:rsidP="00EE0FE6">
      <w:pPr>
        <w:rPr>
          <w:lang w:val="en-GB"/>
        </w:rPr>
      </w:pPr>
      <w:r w:rsidRPr="00EE0FE6">
        <w:rPr>
          <w:rFonts w:hint="eastAsia"/>
          <w:lang w:val="en-GB"/>
        </w:rPr>
        <w:sym w:font="Wingdings" w:char="F0A8"/>
      </w:r>
      <w:r w:rsidRPr="00EE0FE6">
        <w:rPr>
          <w:lang w:val="en-GB"/>
        </w:rPr>
        <w:t xml:space="preserve"> Yes</w:t>
      </w:r>
      <w:r w:rsidRPr="00EE0FE6">
        <w:rPr>
          <w:lang w:val="en-GB"/>
        </w:rPr>
        <w:tab/>
      </w:r>
      <w:r w:rsidRPr="00EE0FE6">
        <w:rPr>
          <w:rFonts w:hint="eastAsia"/>
          <w:lang w:val="en-GB"/>
        </w:rPr>
        <w:sym w:font="Wingdings" w:char="F0FE"/>
      </w:r>
      <w:r w:rsidRPr="00EE0FE6">
        <w:rPr>
          <w:lang w:val="en-GB"/>
        </w:rPr>
        <w:t xml:space="preserve"> </w:t>
      </w:r>
      <w:r w:rsidRPr="000E5B29">
        <w:rPr>
          <w:lang w:val="en-GB"/>
        </w:rPr>
        <w:t>No</w:t>
      </w:r>
    </w:p>
    <w:p w:rsidR="00ED3479" w:rsidRDefault="00ED3479" w:rsidP="001B24E7"/>
    <w:p w:rsidR="006E13A4" w:rsidRPr="000E5B29" w:rsidRDefault="006E13A4" w:rsidP="006E13A4">
      <w:pPr>
        <w:rPr>
          <w:b/>
          <w:lang w:val="en-GB"/>
        </w:rPr>
      </w:pPr>
      <w:r w:rsidRPr="000E5B29">
        <w:rPr>
          <w:b/>
          <w:lang w:val="en-GB"/>
        </w:rPr>
        <w:t>4</w:t>
      </w:r>
      <w:r w:rsidRPr="000E5B29">
        <w:rPr>
          <w:b/>
          <w:lang w:val="en-GB"/>
        </w:rPr>
        <w:tab/>
      </w:r>
      <w:r w:rsidR="00C96B7B">
        <w:rPr>
          <w:b/>
          <w:lang w:val="en-GB"/>
        </w:rPr>
        <w:t>Conclusion</w:t>
      </w:r>
    </w:p>
    <w:p w:rsidR="006E13A4" w:rsidRDefault="00C96B7B" w:rsidP="006E13A4">
      <w:pPr>
        <w:rPr>
          <w:lang w:val="en-GB"/>
        </w:rPr>
      </w:pPr>
      <w:r w:rsidRPr="0039336B">
        <w:rPr>
          <w:lang w:val="en-GB"/>
        </w:rPr>
        <w:t xml:space="preserve">This document provides an initial report </w:t>
      </w:r>
      <w:r w:rsidR="001126ED" w:rsidRPr="0039336B">
        <w:rPr>
          <w:lang w:val="en-GB"/>
        </w:rPr>
        <w:t xml:space="preserve">on the </w:t>
      </w:r>
      <w:r w:rsidR="004C6D4C" w:rsidRPr="0039336B">
        <w:rPr>
          <w:lang w:val="en-GB"/>
        </w:rPr>
        <w:t xml:space="preserve">partial </w:t>
      </w:r>
      <w:r w:rsidR="001126ED" w:rsidRPr="0039336B">
        <w:rPr>
          <w:lang w:val="en-GB"/>
        </w:rPr>
        <w:t xml:space="preserve">evaluation </w:t>
      </w:r>
      <w:r w:rsidRPr="0039336B">
        <w:rPr>
          <w:lang w:val="en-GB"/>
        </w:rPr>
        <w:t xml:space="preserve">of the 3GPP RIT candidate for IMT2020. We had prioritized </w:t>
      </w:r>
      <w:r w:rsidR="00A23DB0" w:rsidRPr="0039336B">
        <w:rPr>
          <w:lang w:val="en-GB"/>
        </w:rPr>
        <w:t>the inspection and analytical aspects of the evaluation in this report.</w:t>
      </w:r>
      <w:r w:rsidR="004C6D4C" w:rsidRPr="0039336B">
        <w:rPr>
          <w:lang w:val="en-GB"/>
        </w:rPr>
        <w:t xml:space="preserve"> We </w:t>
      </w:r>
      <w:r w:rsidR="00DC66AB" w:rsidRPr="0039336B">
        <w:rPr>
          <w:lang w:val="en-GB"/>
        </w:rPr>
        <w:t>are on</w:t>
      </w:r>
      <w:r w:rsidR="0039336B" w:rsidRPr="0039336B">
        <w:rPr>
          <w:lang w:val="en-GB"/>
        </w:rPr>
        <w:t xml:space="preserve"> the</w:t>
      </w:r>
      <w:r w:rsidR="00DC66AB" w:rsidRPr="0039336B">
        <w:rPr>
          <w:lang w:val="en-GB"/>
        </w:rPr>
        <w:t xml:space="preserve"> course to provide simulation</w:t>
      </w:r>
      <w:r w:rsidR="0039336B">
        <w:rPr>
          <w:lang w:val="en-GB"/>
        </w:rPr>
        <w:t>-</w:t>
      </w:r>
      <w:r w:rsidR="00DC66AB" w:rsidRPr="0039336B">
        <w:rPr>
          <w:lang w:val="en-GB"/>
        </w:rPr>
        <w:t>based results for the WP5D#33 meeting.</w:t>
      </w:r>
    </w:p>
    <w:p w:rsidR="00A63EA9" w:rsidRPr="001B24E7" w:rsidRDefault="00A63EA9" w:rsidP="00F818CC">
      <w:pPr>
        <w:tabs>
          <w:tab w:val="clear" w:pos="794"/>
          <w:tab w:val="clear" w:pos="1191"/>
          <w:tab w:val="clear" w:pos="1588"/>
          <w:tab w:val="clear" w:pos="1985"/>
        </w:tabs>
        <w:overflowPunct/>
        <w:autoSpaceDE/>
        <w:autoSpaceDN/>
        <w:adjustRightInd/>
        <w:spacing w:before="0" w:after="160" w:line="259" w:lineRule="auto"/>
        <w:jc w:val="left"/>
        <w:textAlignment w:val="auto"/>
      </w:pPr>
    </w:p>
    <w:sectPr w:rsidR="00A63EA9" w:rsidRPr="001B24E7" w:rsidSect="00464333">
      <w:pgSz w:w="11906" w:h="16838" w:code="9"/>
      <w:pgMar w:top="1152" w:right="1152" w:bottom="1152" w:left="1440" w:header="850" w:footer="85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61B" w:rsidRDefault="00F8561B" w:rsidP="00226595">
      <w:pPr>
        <w:spacing w:before="0"/>
      </w:pPr>
      <w:r>
        <w:separator/>
      </w:r>
    </w:p>
  </w:endnote>
  <w:endnote w:type="continuationSeparator" w:id="0">
    <w:p w:rsidR="00F8561B" w:rsidRDefault="00F8561B" w:rsidP="0022659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Times New Roman Bold">
    <w:panose1 w:val="02020803070505020304"/>
    <w:charset w:val="00"/>
    <w:family w:val="roman"/>
    <w:pitch w:val="variable"/>
    <w:sig w:usb0="00003A87" w:usb1="00000000" w:usb2="00000000" w:usb3="00000000" w:csb0="000000FF" w:csb1="00000000"/>
  </w:font>
  <w:font w:name="TimesNewRoman">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61B" w:rsidRDefault="00F8561B" w:rsidP="00226595">
      <w:pPr>
        <w:spacing w:before="0"/>
      </w:pPr>
      <w:r>
        <w:separator/>
      </w:r>
    </w:p>
  </w:footnote>
  <w:footnote w:type="continuationSeparator" w:id="0">
    <w:p w:rsidR="00F8561B" w:rsidRDefault="00F8561B" w:rsidP="00226595">
      <w:pPr>
        <w:spacing w:before="0"/>
      </w:pPr>
      <w:r>
        <w:continuationSeparator/>
      </w:r>
    </w:p>
  </w:footnote>
  <w:footnote w:id="1">
    <w:p w:rsidR="00ED3479" w:rsidRPr="00D20117" w:rsidRDefault="00ED3479" w:rsidP="00ED3479">
      <w:pPr>
        <w:pStyle w:val="FootnoteText"/>
        <w:rPr>
          <w:lang w:val="en-GB" w:eastAsia="ja-JP"/>
        </w:rPr>
      </w:pPr>
      <w:r>
        <w:rPr>
          <w:rStyle w:val="FootnoteReference"/>
        </w:rPr>
        <w:footnoteRef/>
      </w:r>
      <w:r w:rsidRPr="00D20117">
        <w:rPr>
          <w:szCs w:val="22"/>
          <w:lang w:val="en-GB" w:eastAsia="ja-JP"/>
        </w:rPr>
        <w:tab/>
      </w:r>
      <w:r w:rsidRPr="00D20117">
        <w:rPr>
          <w:lang w:val="en-GB" w:eastAsia="ja-JP"/>
        </w:rPr>
        <w:t xml:space="preserve">If a </w:t>
      </w:r>
      <w:r w:rsidRPr="00D20117">
        <w:rPr>
          <w:lang w:val="en-GB"/>
        </w:rPr>
        <w:t>proponent</w:t>
      </w:r>
      <w:r w:rsidRPr="00D20117">
        <w:rPr>
          <w:lang w:val="en-GB" w:eastAsia="ja-JP"/>
        </w:rPr>
        <w:t xml:space="preserve"> determines that a specific question does not apply, the proponent should indicate that this is the case and provide a rationale for why it does not apply.</w:t>
      </w:r>
    </w:p>
    <w:p w:rsidR="00ED3479" w:rsidRPr="00D20117" w:rsidRDefault="00ED3479" w:rsidP="00ED3479">
      <w:pPr>
        <w:rPr>
          <w:sz w:val="2"/>
          <w:szCs w:val="2"/>
          <w:lang w:val="en-GB" w:eastAsia="ja-JP"/>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52EF"/>
    <w:multiLevelType w:val="hybridMultilevel"/>
    <w:tmpl w:val="A73E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55350"/>
    <w:multiLevelType w:val="hybridMultilevel"/>
    <w:tmpl w:val="2068851A"/>
    <w:lvl w:ilvl="0" w:tplc="2A6A767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95"/>
    <w:rsid w:val="00003F47"/>
    <w:rsid w:val="0001417C"/>
    <w:rsid w:val="00035290"/>
    <w:rsid w:val="0005696B"/>
    <w:rsid w:val="00062490"/>
    <w:rsid w:val="00076096"/>
    <w:rsid w:val="0008420B"/>
    <w:rsid w:val="00096C3B"/>
    <w:rsid w:val="000A4832"/>
    <w:rsid w:val="000B7B5C"/>
    <w:rsid w:val="000E5B29"/>
    <w:rsid w:val="001126ED"/>
    <w:rsid w:val="00113BAB"/>
    <w:rsid w:val="00115C49"/>
    <w:rsid w:val="00123601"/>
    <w:rsid w:val="00133CD1"/>
    <w:rsid w:val="001519D2"/>
    <w:rsid w:val="00171143"/>
    <w:rsid w:val="00172884"/>
    <w:rsid w:val="00173E1D"/>
    <w:rsid w:val="00184287"/>
    <w:rsid w:val="00185AF7"/>
    <w:rsid w:val="001A0C65"/>
    <w:rsid w:val="001B24E7"/>
    <w:rsid w:val="001B376C"/>
    <w:rsid w:val="001E39C8"/>
    <w:rsid w:val="001F3FAB"/>
    <w:rsid w:val="0021639A"/>
    <w:rsid w:val="00226595"/>
    <w:rsid w:val="0024749B"/>
    <w:rsid w:val="00251238"/>
    <w:rsid w:val="00255C5B"/>
    <w:rsid w:val="00256644"/>
    <w:rsid w:val="00267604"/>
    <w:rsid w:val="002A37D3"/>
    <w:rsid w:val="002A7DFD"/>
    <w:rsid w:val="002B659E"/>
    <w:rsid w:val="002C08D3"/>
    <w:rsid w:val="002D60C9"/>
    <w:rsid w:val="002D692D"/>
    <w:rsid w:val="002E3311"/>
    <w:rsid w:val="002E3376"/>
    <w:rsid w:val="00301675"/>
    <w:rsid w:val="003119B3"/>
    <w:rsid w:val="00314979"/>
    <w:rsid w:val="00325061"/>
    <w:rsid w:val="00332C36"/>
    <w:rsid w:val="003421BD"/>
    <w:rsid w:val="00362A61"/>
    <w:rsid w:val="00367D22"/>
    <w:rsid w:val="00367EA0"/>
    <w:rsid w:val="003846DA"/>
    <w:rsid w:val="00384B0E"/>
    <w:rsid w:val="0039336B"/>
    <w:rsid w:val="003A5E59"/>
    <w:rsid w:val="003A73CF"/>
    <w:rsid w:val="003B7523"/>
    <w:rsid w:val="003C2339"/>
    <w:rsid w:val="0041438B"/>
    <w:rsid w:val="004232DC"/>
    <w:rsid w:val="00462568"/>
    <w:rsid w:val="00464333"/>
    <w:rsid w:val="004666F4"/>
    <w:rsid w:val="00472810"/>
    <w:rsid w:val="00475859"/>
    <w:rsid w:val="004C6D4C"/>
    <w:rsid w:val="004E243D"/>
    <w:rsid w:val="00505D94"/>
    <w:rsid w:val="0051430B"/>
    <w:rsid w:val="00515F44"/>
    <w:rsid w:val="00522FB8"/>
    <w:rsid w:val="00525A74"/>
    <w:rsid w:val="00527815"/>
    <w:rsid w:val="0054112A"/>
    <w:rsid w:val="00557CA6"/>
    <w:rsid w:val="00565FDB"/>
    <w:rsid w:val="005837C5"/>
    <w:rsid w:val="005A2FA9"/>
    <w:rsid w:val="005A5FBC"/>
    <w:rsid w:val="005A7F83"/>
    <w:rsid w:val="005B1ED1"/>
    <w:rsid w:val="005C43B6"/>
    <w:rsid w:val="005E498B"/>
    <w:rsid w:val="005E6F97"/>
    <w:rsid w:val="00601283"/>
    <w:rsid w:val="006264A5"/>
    <w:rsid w:val="00631485"/>
    <w:rsid w:val="00637364"/>
    <w:rsid w:val="0066191E"/>
    <w:rsid w:val="006A7BBA"/>
    <w:rsid w:val="006B21AD"/>
    <w:rsid w:val="006C1539"/>
    <w:rsid w:val="006E13A4"/>
    <w:rsid w:val="006E249E"/>
    <w:rsid w:val="006E4BFF"/>
    <w:rsid w:val="00723333"/>
    <w:rsid w:val="00725974"/>
    <w:rsid w:val="00726C07"/>
    <w:rsid w:val="00743AD4"/>
    <w:rsid w:val="007458F6"/>
    <w:rsid w:val="0078769A"/>
    <w:rsid w:val="00791C67"/>
    <w:rsid w:val="0079221B"/>
    <w:rsid w:val="007C6B77"/>
    <w:rsid w:val="007C727C"/>
    <w:rsid w:val="007D5EC2"/>
    <w:rsid w:val="007D778C"/>
    <w:rsid w:val="007F6965"/>
    <w:rsid w:val="0085096B"/>
    <w:rsid w:val="00883AF3"/>
    <w:rsid w:val="008B6412"/>
    <w:rsid w:val="008C1A6E"/>
    <w:rsid w:val="008E7329"/>
    <w:rsid w:val="008F0409"/>
    <w:rsid w:val="008F1D2F"/>
    <w:rsid w:val="008F4BA1"/>
    <w:rsid w:val="0090418B"/>
    <w:rsid w:val="00904841"/>
    <w:rsid w:val="00913A50"/>
    <w:rsid w:val="00930970"/>
    <w:rsid w:val="009317ED"/>
    <w:rsid w:val="0094189C"/>
    <w:rsid w:val="00984A1C"/>
    <w:rsid w:val="009B153C"/>
    <w:rsid w:val="009B599A"/>
    <w:rsid w:val="009B66E8"/>
    <w:rsid w:val="009D3A44"/>
    <w:rsid w:val="009D52C7"/>
    <w:rsid w:val="009E45E0"/>
    <w:rsid w:val="00A076FC"/>
    <w:rsid w:val="00A100EB"/>
    <w:rsid w:val="00A23DB0"/>
    <w:rsid w:val="00A324BE"/>
    <w:rsid w:val="00A415C7"/>
    <w:rsid w:val="00A4411F"/>
    <w:rsid w:val="00A63EA9"/>
    <w:rsid w:val="00A86385"/>
    <w:rsid w:val="00A86B0B"/>
    <w:rsid w:val="00AA4CB8"/>
    <w:rsid w:val="00AB0623"/>
    <w:rsid w:val="00AB189B"/>
    <w:rsid w:val="00AB2B77"/>
    <w:rsid w:val="00AC214D"/>
    <w:rsid w:val="00AD10D6"/>
    <w:rsid w:val="00AD2DB5"/>
    <w:rsid w:val="00AE4111"/>
    <w:rsid w:val="00AE66E0"/>
    <w:rsid w:val="00AF3A42"/>
    <w:rsid w:val="00B001E0"/>
    <w:rsid w:val="00B0127E"/>
    <w:rsid w:val="00B16AF4"/>
    <w:rsid w:val="00B212B9"/>
    <w:rsid w:val="00B303A8"/>
    <w:rsid w:val="00B32CE3"/>
    <w:rsid w:val="00B34D1B"/>
    <w:rsid w:val="00B36190"/>
    <w:rsid w:val="00B65092"/>
    <w:rsid w:val="00B72905"/>
    <w:rsid w:val="00B84C42"/>
    <w:rsid w:val="00B92AC1"/>
    <w:rsid w:val="00BA070B"/>
    <w:rsid w:val="00BA16E3"/>
    <w:rsid w:val="00BB1F07"/>
    <w:rsid w:val="00BC319B"/>
    <w:rsid w:val="00C02C05"/>
    <w:rsid w:val="00C25EC6"/>
    <w:rsid w:val="00C66B7F"/>
    <w:rsid w:val="00C86D6B"/>
    <w:rsid w:val="00C87F7D"/>
    <w:rsid w:val="00C91070"/>
    <w:rsid w:val="00C962CF"/>
    <w:rsid w:val="00C96B7B"/>
    <w:rsid w:val="00CA1A19"/>
    <w:rsid w:val="00CF0C7C"/>
    <w:rsid w:val="00CF6DC1"/>
    <w:rsid w:val="00D04048"/>
    <w:rsid w:val="00D13AD0"/>
    <w:rsid w:val="00D763B7"/>
    <w:rsid w:val="00D85A12"/>
    <w:rsid w:val="00DC2907"/>
    <w:rsid w:val="00DC66AB"/>
    <w:rsid w:val="00DF455D"/>
    <w:rsid w:val="00E1485E"/>
    <w:rsid w:val="00E54982"/>
    <w:rsid w:val="00E741A7"/>
    <w:rsid w:val="00E9199D"/>
    <w:rsid w:val="00E94741"/>
    <w:rsid w:val="00E97B11"/>
    <w:rsid w:val="00EB1AEC"/>
    <w:rsid w:val="00ED3479"/>
    <w:rsid w:val="00EE0FE6"/>
    <w:rsid w:val="00EE69F6"/>
    <w:rsid w:val="00EF4B17"/>
    <w:rsid w:val="00F06170"/>
    <w:rsid w:val="00F257FE"/>
    <w:rsid w:val="00F477B0"/>
    <w:rsid w:val="00F512FC"/>
    <w:rsid w:val="00F818CC"/>
    <w:rsid w:val="00F82677"/>
    <w:rsid w:val="00F8561B"/>
    <w:rsid w:val="00FA340F"/>
    <w:rsid w:val="00FA6E93"/>
    <w:rsid w:val="00FD66C2"/>
    <w:rsid w:val="00FD726F"/>
    <w:rsid w:val="00FE06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69AA8D-F7E8-4297-8C8C-334C2869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595"/>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val="en-IN"/>
    </w:rPr>
  </w:style>
  <w:style w:type="paragraph" w:styleId="Heading1">
    <w:name w:val="heading 1"/>
    <w:basedOn w:val="Normal"/>
    <w:next w:val="Normal"/>
    <w:link w:val="Heading1Char"/>
    <w:uiPriority w:val="9"/>
    <w:qFormat/>
    <w:rsid w:val="00226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42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1"/>
    <w:next w:val="Normal"/>
    <w:link w:val="Heading3Char"/>
    <w:qFormat/>
    <w:rsid w:val="00226595"/>
    <w:pPr>
      <w:spacing w:before="200"/>
      <w:ind w:left="794" w:hanging="794"/>
      <w:outlineLvl w:val="2"/>
    </w:pPr>
    <w:rPr>
      <w:rFonts w:ascii="Times New Roman" w:eastAsia="Times New Roman" w:hAnsi="Times New Roman" w:cs="Times New Roman"/>
      <w:b/>
      <w:color w:val="auto"/>
      <w:sz w:val="24"/>
      <w:szCs w:val="20"/>
    </w:rPr>
  </w:style>
  <w:style w:type="paragraph" w:styleId="Heading4">
    <w:name w:val="heading 4"/>
    <w:basedOn w:val="Heading3"/>
    <w:next w:val="Normal"/>
    <w:link w:val="Heading4Char"/>
    <w:qFormat/>
    <w:rsid w:val="00226595"/>
    <w:pPr>
      <w:tabs>
        <w:tab w:val="clear" w:pos="794"/>
        <w:tab w:val="left" w:pos="992"/>
      </w:tabs>
      <w:ind w:left="992" w:hanging="992"/>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26595"/>
    <w:rPr>
      <w:rFonts w:ascii="Times New Roman" w:eastAsia="Times New Roman" w:hAnsi="Times New Roman" w:cs="Times New Roman"/>
      <w:b/>
      <w:sz w:val="24"/>
      <w:szCs w:val="20"/>
      <w:lang w:val="fr-FR"/>
    </w:rPr>
  </w:style>
  <w:style w:type="character" w:customStyle="1" w:styleId="Heading4Char">
    <w:name w:val="Heading 4 Char"/>
    <w:basedOn w:val="DefaultParagraphFont"/>
    <w:link w:val="Heading4"/>
    <w:qFormat/>
    <w:rsid w:val="00226595"/>
    <w:rPr>
      <w:rFonts w:ascii="Times New Roman" w:eastAsia="Times New Roman" w:hAnsi="Times New Roman" w:cs="Times New Roman"/>
      <w:b/>
      <w:sz w:val="24"/>
      <w:szCs w:val="20"/>
      <w:lang w:val="fr-FR"/>
    </w:rPr>
  </w:style>
  <w:style w:type="paragraph" w:customStyle="1" w:styleId="enumlev1">
    <w:name w:val="enumlev1"/>
    <w:basedOn w:val="Normal"/>
    <w:link w:val="enumlev1Char"/>
    <w:qFormat/>
    <w:rsid w:val="00226595"/>
    <w:pPr>
      <w:spacing w:before="80"/>
      <w:ind w:left="794" w:hanging="794"/>
    </w:pPr>
  </w:style>
  <w:style w:type="paragraph" w:customStyle="1" w:styleId="Tablefin">
    <w:name w:val="Table_fin"/>
    <w:basedOn w:val="Normal"/>
    <w:next w:val="Normal"/>
    <w:uiPriority w:val="99"/>
    <w:qFormat/>
    <w:rsid w:val="00226595"/>
    <w:pPr>
      <w:spacing w:before="0"/>
    </w:pPr>
    <w:rPr>
      <w:sz w:val="20"/>
      <w:lang w:val="en-GB"/>
    </w:rPr>
  </w:style>
  <w:style w:type="paragraph" w:customStyle="1" w:styleId="Tablehead">
    <w:name w:val="Table_head"/>
    <w:basedOn w:val="Normal"/>
    <w:next w:val="Normal"/>
    <w:link w:val="TableheadChar"/>
    <w:qFormat/>
    <w:rsid w:val="00226595"/>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uiPriority w:val="99"/>
    <w:qFormat/>
    <w:rsid w:val="00226595"/>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2"/>
    </w:rPr>
  </w:style>
  <w:style w:type="paragraph" w:customStyle="1" w:styleId="Tabletext">
    <w:name w:val="Table_text"/>
    <w:basedOn w:val="Normal"/>
    <w:link w:val="TabletextChar"/>
    <w:qFormat/>
    <w:rsid w:val="00226595"/>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226595"/>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
    <w:basedOn w:val="Normal"/>
    <w:link w:val="FootnoteTextChar"/>
    <w:semiHidden/>
    <w:qFormat/>
    <w:rsid w:val="00226595"/>
    <w:pPr>
      <w:keepLines/>
      <w:tabs>
        <w:tab w:val="left" w:pos="255"/>
      </w:tabs>
      <w:ind w:left="255" w:hanging="255"/>
    </w:pPr>
    <w:rPr>
      <w:sz w:val="22"/>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semiHidden/>
    <w:rsid w:val="00226595"/>
    <w:rPr>
      <w:rFonts w:ascii="Times New Roman" w:eastAsia="Times New Roman" w:hAnsi="Times New Roman" w:cs="Times New Roman"/>
      <w:szCs w:val="20"/>
      <w:lang w:val="fr-FR"/>
    </w:rPr>
  </w:style>
  <w:style w:type="character" w:customStyle="1" w:styleId="enumlev1Char">
    <w:name w:val="enumlev1 Char"/>
    <w:link w:val="enumlev1"/>
    <w:qFormat/>
    <w:locked/>
    <w:rsid w:val="00226595"/>
    <w:rPr>
      <w:rFonts w:ascii="Times New Roman" w:eastAsia="Times New Roman" w:hAnsi="Times New Roman" w:cs="Times New Roman"/>
      <w:sz w:val="24"/>
      <w:szCs w:val="20"/>
      <w:lang w:val="fr-FR"/>
    </w:rPr>
  </w:style>
  <w:style w:type="character" w:customStyle="1" w:styleId="TabletextChar">
    <w:name w:val="Table_text Char"/>
    <w:basedOn w:val="DefaultParagraphFont"/>
    <w:link w:val="Tabletext"/>
    <w:locked/>
    <w:rsid w:val="00226595"/>
    <w:rPr>
      <w:rFonts w:ascii="Times New Roman" w:eastAsia="Times New Roman" w:hAnsi="Times New Roman" w:cs="Times New Roman"/>
      <w:szCs w:val="20"/>
      <w:lang w:val="fr-FR"/>
    </w:rPr>
  </w:style>
  <w:style w:type="character" w:customStyle="1" w:styleId="TableheadChar">
    <w:name w:val="Table_head Char"/>
    <w:basedOn w:val="DefaultParagraphFont"/>
    <w:link w:val="Tablehead"/>
    <w:locked/>
    <w:rsid w:val="00226595"/>
    <w:rPr>
      <w:rFonts w:ascii="Times New Roman" w:eastAsia="Times New Roman" w:hAnsi="Times New Roman" w:cs="Times New Roman"/>
      <w:b/>
      <w:szCs w:val="20"/>
      <w:lang w:val="fr-FR"/>
    </w:rPr>
  </w:style>
  <w:style w:type="character" w:customStyle="1" w:styleId="Heading1CharChar">
    <w:name w:val="Heading 1 Char Char"/>
    <w:basedOn w:val="DefaultParagraphFont"/>
    <w:rsid w:val="00226595"/>
    <w:rPr>
      <w:b/>
      <w:bCs w:val="0"/>
      <w:sz w:val="24"/>
      <w:lang w:val="en-GB" w:eastAsia="en-US" w:bidi="ar-SA"/>
    </w:rPr>
  </w:style>
  <w:style w:type="character" w:customStyle="1" w:styleId="Heading4CharChar">
    <w:name w:val="Heading 4 Char Char"/>
    <w:basedOn w:val="DefaultParagraphFont"/>
    <w:rsid w:val="00226595"/>
    <w:rPr>
      <w:b/>
      <w:bCs w:val="0"/>
      <w:sz w:val="24"/>
      <w:lang w:val="en-GB" w:eastAsia="en-US" w:bidi="ar-SA"/>
    </w:rPr>
  </w:style>
  <w:style w:type="character" w:customStyle="1" w:styleId="Heading3CharChar1">
    <w:name w:val="Heading 3 Char Char1"/>
    <w:basedOn w:val="DefaultParagraphFont"/>
    <w:rsid w:val="00226595"/>
    <w:rPr>
      <w:b/>
      <w:bCs w:val="0"/>
      <w:sz w:val="24"/>
      <w:lang w:val="en-GB" w:eastAsia="en-US" w:bidi="ar-SA"/>
    </w:rPr>
  </w:style>
  <w:style w:type="character" w:customStyle="1" w:styleId="Heading1Char">
    <w:name w:val="Heading 1 Char"/>
    <w:basedOn w:val="DefaultParagraphFont"/>
    <w:link w:val="Heading1"/>
    <w:uiPriority w:val="9"/>
    <w:rsid w:val="00226595"/>
    <w:rPr>
      <w:rFonts w:asciiTheme="majorHAnsi" w:eastAsiaTheme="majorEastAsia" w:hAnsiTheme="majorHAnsi" w:cstheme="majorBidi"/>
      <w:color w:val="2F5496" w:themeColor="accent1" w:themeShade="BF"/>
      <w:sz w:val="32"/>
      <w:szCs w:val="32"/>
      <w:lang w:val="fr-FR"/>
    </w:rPr>
  </w:style>
  <w:style w:type="character" w:styleId="Hyperlink">
    <w:name w:val="Hyperlink"/>
    <w:uiPriority w:val="99"/>
    <w:rsid w:val="00184287"/>
    <w:rPr>
      <w:rFonts w:cs="Times New Roman"/>
      <w:color w:val="0000FF"/>
      <w:u w:val="single"/>
    </w:rPr>
  </w:style>
  <w:style w:type="character" w:customStyle="1" w:styleId="UnresolvedMention">
    <w:name w:val="Unresolved Mention"/>
    <w:basedOn w:val="DefaultParagraphFont"/>
    <w:uiPriority w:val="99"/>
    <w:semiHidden/>
    <w:unhideWhenUsed/>
    <w:rsid w:val="00184287"/>
    <w:rPr>
      <w:color w:val="605E5C"/>
      <w:shd w:val="clear" w:color="auto" w:fill="E1DFDD"/>
    </w:rPr>
  </w:style>
  <w:style w:type="character" w:customStyle="1" w:styleId="Heading2Char">
    <w:name w:val="Heading 2 Char"/>
    <w:basedOn w:val="DefaultParagraphFont"/>
    <w:link w:val="Heading2"/>
    <w:uiPriority w:val="9"/>
    <w:semiHidden/>
    <w:rsid w:val="0008420B"/>
    <w:rPr>
      <w:rFonts w:asciiTheme="majorHAnsi" w:eastAsiaTheme="majorEastAsia" w:hAnsiTheme="majorHAnsi" w:cstheme="majorBidi"/>
      <w:color w:val="2F5496" w:themeColor="accent1" w:themeShade="BF"/>
      <w:sz w:val="26"/>
      <w:szCs w:val="26"/>
      <w:lang w:val="fr-FR"/>
    </w:rPr>
  </w:style>
  <w:style w:type="paragraph" w:customStyle="1" w:styleId="TAH">
    <w:name w:val="TAH"/>
    <w:basedOn w:val="TAC"/>
    <w:link w:val="TAHCar"/>
    <w:qFormat/>
    <w:rsid w:val="00EB1AEC"/>
    <w:rPr>
      <w:b/>
    </w:rPr>
  </w:style>
  <w:style w:type="paragraph" w:customStyle="1" w:styleId="TAC">
    <w:name w:val="TAC"/>
    <w:basedOn w:val="Normal"/>
    <w:link w:val="TACChar"/>
    <w:qFormat/>
    <w:rsid w:val="00EB1AEC"/>
    <w:pPr>
      <w:keepNext/>
      <w:keepLines/>
      <w:tabs>
        <w:tab w:val="clear" w:pos="794"/>
        <w:tab w:val="clear" w:pos="1191"/>
        <w:tab w:val="clear" w:pos="1588"/>
        <w:tab w:val="clear" w:pos="1985"/>
      </w:tabs>
      <w:overflowPunct/>
      <w:autoSpaceDE/>
      <w:autoSpaceDN/>
      <w:adjustRightInd/>
      <w:spacing w:before="0"/>
      <w:jc w:val="center"/>
      <w:textAlignment w:val="auto"/>
    </w:pPr>
    <w:rPr>
      <w:rFonts w:ascii="Arial" w:eastAsiaTheme="minorEastAsia" w:hAnsi="Arial"/>
      <w:sz w:val="18"/>
      <w:lang w:val="en-GB"/>
    </w:rPr>
  </w:style>
  <w:style w:type="paragraph" w:customStyle="1" w:styleId="TH">
    <w:name w:val="TH"/>
    <w:basedOn w:val="Normal"/>
    <w:link w:val="THChar"/>
    <w:qFormat/>
    <w:rsid w:val="00EB1AEC"/>
    <w:pPr>
      <w:keepNext/>
      <w:keepLines/>
      <w:tabs>
        <w:tab w:val="clear" w:pos="794"/>
        <w:tab w:val="clear" w:pos="1191"/>
        <w:tab w:val="clear" w:pos="1588"/>
        <w:tab w:val="clear" w:pos="1985"/>
      </w:tabs>
      <w:overflowPunct/>
      <w:autoSpaceDE/>
      <w:autoSpaceDN/>
      <w:adjustRightInd/>
      <w:spacing w:before="60" w:after="180"/>
      <w:jc w:val="center"/>
      <w:textAlignment w:val="auto"/>
    </w:pPr>
    <w:rPr>
      <w:rFonts w:ascii="Arial" w:eastAsiaTheme="minorEastAsia" w:hAnsi="Arial"/>
      <w:b/>
      <w:sz w:val="20"/>
      <w:lang w:val="en-GB"/>
    </w:rPr>
  </w:style>
  <w:style w:type="character" w:customStyle="1" w:styleId="THChar">
    <w:name w:val="TH Char"/>
    <w:basedOn w:val="DefaultParagraphFont"/>
    <w:link w:val="TH"/>
    <w:qFormat/>
    <w:rsid w:val="00EB1AEC"/>
    <w:rPr>
      <w:rFonts w:ascii="Arial" w:eastAsiaTheme="minorEastAsia" w:hAnsi="Arial" w:cs="Times New Roman"/>
      <w:b/>
      <w:sz w:val="20"/>
      <w:szCs w:val="20"/>
      <w:lang w:val="en-GB"/>
    </w:rPr>
  </w:style>
  <w:style w:type="character" w:customStyle="1" w:styleId="TACChar">
    <w:name w:val="TAC Char"/>
    <w:link w:val="TAC"/>
    <w:qFormat/>
    <w:locked/>
    <w:rsid w:val="00EB1AEC"/>
    <w:rPr>
      <w:rFonts w:ascii="Arial" w:eastAsiaTheme="minorEastAsia" w:hAnsi="Arial" w:cs="Times New Roman"/>
      <w:sz w:val="18"/>
      <w:szCs w:val="20"/>
      <w:lang w:val="en-GB"/>
    </w:rPr>
  </w:style>
  <w:style w:type="character" w:customStyle="1" w:styleId="TAHCar">
    <w:name w:val="TAH Car"/>
    <w:link w:val="TAH"/>
    <w:qFormat/>
    <w:rsid w:val="00EB1AEC"/>
    <w:rPr>
      <w:rFonts w:ascii="Arial" w:eastAsiaTheme="minorEastAsia" w:hAnsi="Arial" w:cs="Times New Roman"/>
      <w:b/>
      <w:sz w:val="18"/>
      <w:szCs w:val="20"/>
      <w:lang w:val="en-GB"/>
    </w:rPr>
  </w:style>
  <w:style w:type="paragraph" w:styleId="BalloonText">
    <w:name w:val="Balloon Text"/>
    <w:basedOn w:val="Normal"/>
    <w:link w:val="BalloonTextChar"/>
    <w:uiPriority w:val="99"/>
    <w:semiHidden/>
    <w:unhideWhenUsed/>
    <w:rsid w:val="00515F4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F44"/>
    <w:rPr>
      <w:rFonts w:ascii="Segoe UI" w:eastAsia="Times New Roman" w:hAnsi="Segoe UI" w:cs="Segoe UI"/>
      <w:sz w:val="18"/>
      <w:szCs w:val="18"/>
      <w:lang w:val="fr-FR"/>
    </w:rPr>
  </w:style>
  <w:style w:type="character" w:styleId="CommentReference">
    <w:name w:val="annotation reference"/>
    <w:basedOn w:val="DefaultParagraphFont"/>
    <w:uiPriority w:val="99"/>
    <w:semiHidden/>
    <w:unhideWhenUsed/>
    <w:rsid w:val="00984A1C"/>
    <w:rPr>
      <w:sz w:val="16"/>
      <w:szCs w:val="16"/>
    </w:rPr>
  </w:style>
  <w:style w:type="paragraph" w:styleId="CommentText">
    <w:name w:val="annotation text"/>
    <w:basedOn w:val="Normal"/>
    <w:link w:val="CommentTextChar"/>
    <w:uiPriority w:val="99"/>
    <w:semiHidden/>
    <w:unhideWhenUsed/>
    <w:rsid w:val="00984A1C"/>
    <w:rPr>
      <w:sz w:val="20"/>
    </w:rPr>
  </w:style>
  <w:style w:type="character" w:customStyle="1" w:styleId="CommentTextChar">
    <w:name w:val="Comment Text Char"/>
    <w:basedOn w:val="DefaultParagraphFont"/>
    <w:link w:val="CommentText"/>
    <w:uiPriority w:val="99"/>
    <w:semiHidden/>
    <w:rsid w:val="00984A1C"/>
    <w:rPr>
      <w:rFonts w:ascii="Times New Roman" w:eastAsia="Times New Roman" w:hAnsi="Times New Roman"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984A1C"/>
    <w:rPr>
      <w:b/>
      <w:bCs/>
    </w:rPr>
  </w:style>
  <w:style w:type="character" w:customStyle="1" w:styleId="CommentSubjectChar">
    <w:name w:val="Comment Subject Char"/>
    <w:basedOn w:val="CommentTextChar"/>
    <w:link w:val="CommentSubject"/>
    <w:uiPriority w:val="99"/>
    <w:semiHidden/>
    <w:rsid w:val="00984A1C"/>
    <w:rPr>
      <w:rFonts w:ascii="Times New Roman" w:eastAsia="Times New Roman" w:hAnsi="Times New Roman" w:cs="Times New Roman"/>
      <w:b/>
      <w:bCs/>
      <w:sz w:val="20"/>
      <w:szCs w:val="20"/>
      <w:lang w:val="fr-FR"/>
    </w:rPr>
  </w:style>
  <w:style w:type="paragraph" w:styleId="ListParagraph">
    <w:name w:val="List Paragraph"/>
    <w:basedOn w:val="Normal"/>
    <w:uiPriority w:val="34"/>
    <w:qFormat/>
    <w:rsid w:val="00414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ai.com/5g_india_forum" TargetMode="External"/><Relationship Id="rId5" Type="http://schemas.openxmlformats.org/officeDocument/2006/relationships/webSettings" Target="webSettings.xml"/><Relationship Id="rId10" Type="http://schemas.openxmlformats.org/officeDocument/2006/relationships/hyperlink" Target="mailto:imt2020@5gindiaforum.in" TargetMode="External"/><Relationship Id="rId4" Type="http://schemas.openxmlformats.org/officeDocument/2006/relationships/settings" Target="settings.xml"/><Relationship Id="rId9" Type="http://schemas.openxmlformats.org/officeDocument/2006/relationships/hyperlink" Target="https://www.itu.int/md/R15-IMT.2020-C-0003/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9C04-2560-4BBA-98A9-B0830186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Vinosh</dc:creator>
  <cp:keywords/>
  <dc:description/>
  <cp:lastModifiedBy>Soto Romero, Alicia</cp:lastModifiedBy>
  <cp:revision>1</cp:revision>
  <dcterms:created xsi:type="dcterms:W3CDTF">2019-12-16T10:47:00Z</dcterms:created>
  <dcterms:modified xsi:type="dcterms:W3CDTF">2019-12-16T10:47:00Z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1908175715</vt:i4>
  </property>
  <property fmtid="{D5CDD505-2E9C-101B-9397-08002B2CF9AE}" pid="3" name="_NewReviewCycle">
    <vt:lpwstr/>
  </property>
  <property fmtid="{D5CDD505-2E9C-101B-9397-08002B2CF9AE}" pid="4" name="_EmailSubject">
    <vt:lpwstr>5GIF IEG partial evaluation report. draft cover letter </vt:lpwstr>
  </property>
  <property fmtid="{D5CDD505-2E9C-101B-9397-08002B2CF9AE}" pid="5" name="_AuthorEmail">
    <vt:lpwstr>vinosh@qti.qualcomm.com</vt:lpwstr>
  </property>
  <property fmtid="{D5CDD505-2E9C-101B-9397-08002B2CF9AE}" pid="6" name="_AuthorEmailDisplayName">
    <vt:lpwstr>Vinosh James</vt:lpwstr>
  </property>
  <property fmtid="{D5CDD505-2E9C-101B-9397-08002B2CF9AE}" pid="7" name="_ReviewingToolsShownOnce">
    <vt:lpwstr/>
  </property>
</Properties>
</file>