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C76DAC" w:rsidP="00C76DAC">
            <w:pPr>
              <w:shd w:val="solid" w:color="FFFFFF" w:fill="FFFFFF"/>
              <w:spacing w:before="0" w:line="240" w:lineRule="atLeast"/>
            </w:pPr>
            <w:bookmarkStart w:id="0" w:name="ditulogo"/>
            <w:bookmarkEnd w:id="0"/>
            <w:r w:rsidRPr="00E8501D">
              <w:rPr>
                <w:b/>
                <w:bCs/>
                <w:noProof/>
                <w:sz w:val="20"/>
                <w:lang w:eastAsia="en-GB"/>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C76DAC" w:rsidRPr="00982084" w:rsidRDefault="00C76DAC" w:rsidP="00E71F3E">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3 December 2019</w:t>
            </w:r>
          </w:p>
        </w:tc>
        <w:tc>
          <w:tcPr>
            <w:tcW w:w="3402" w:type="dxa"/>
          </w:tcPr>
          <w:p w:rsidR="000069D4" w:rsidRPr="00C76DAC" w:rsidRDefault="00C76DAC"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5D/33-E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C76DAC" w:rsidRDefault="00C76DAC" w:rsidP="00A5173C">
            <w:pPr>
              <w:shd w:val="solid" w:color="FFFFFF" w:fill="FFFFFF"/>
              <w:spacing w:before="0" w:line="240" w:lineRule="atLeast"/>
              <w:rPr>
                <w:rFonts w:ascii="Verdana" w:hAnsi="Verdana"/>
                <w:sz w:val="20"/>
                <w:lang w:eastAsia="zh-CN"/>
              </w:rPr>
            </w:pPr>
            <w:r>
              <w:rPr>
                <w:rFonts w:ascii="Verdana" w:hAnsi="Verdana"/>
                <w:b/>
                <w:sz w:val="20"/>
                <w:lang w:eastAsia="zh-CN"/>
              </w:rPr>
              <w:t>4 December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Default="00C76DAC"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English only</w:t>
            </w:r>
          </w:p>
          <w:p w:rsidR="00E71F3E" w:rsidRDefault="00E71F3E" w:rsidP="00A5173C">
            <w:pPr>
              <w:shd w:val="solid" w:color="FFFFFF" w:fill="FFFFFF"/>
              <w:spacing w:before="0" w:line="240" w:lineRule="atLeast"/>
              <w:rPr>
                <w:rFonts w:ascii="Verdana" w:eastAsia="SimSun" w:hAnsi="Verdana"/>
                <w:b/>
                <w:sz w:val="20"/>
                <w:lang w:eastAsia="zh-CN"/>
              </w:rPr>
            </w:pPr>
          </w:p>
          <w:p w:rsidR="00E71F3E" w:rsidRPr="00E71F3E" w:rsidRDefault="00E71F3E" w:rsidP="00A5173C">
            <w:pPr>
              <w:shd w:val="solid" w:color="FFFFFF" w:fill="FFFFFF"/>
              <w:spacing w:before="0" w:line="240" w:lineRule="atLeast"/>
              <w:rPr>
                <w:rFonts w:ascii="Verdana" w:eastAsia="SimSun" w:hAnsi="Verdana"/>
                <w:sz w:val="20"/>
                <w:lang w:eastAsia="zh-CN"/>
              </w:rPr>
            </w:pPr>
            <w:r w:rsidRPr="00E71F3E">
              <w:rPr>
                <w:rFonts w:ascii="Verdana" w:eastAsia="SimSun" w:hAnsi="Verdana"/>
                <w:b/>
                <w:sz w:val="20"/>
                <w:lang w:eastAsia="zh-CN"/>
              </w:rPr>
              <w:t>TECHNOLOGY ASPECTS</w:t>
            </w:r>
          </w:p>
        </w:tc>
      </w:tr>
      <w:tr w:rsidR="00E71F3E" w:rsidTr="00D046A7">
        <w:trPr>
          <w:cantSplit/>
        </w:trPr>
        <w:tc>
          <w:tcPr>
            <w:tcW w:w="9889" w:type="dxa"/>
            <w:gridSpan w:val="2"/>
          </w:tcPr>
          <w:p w:rsidR="00E71F3E" w:rsidRPr="00A93711" w:rsidRDefault="00E71F3E" w:rsidP="00E71F3E">
            <w:pPr>
              <w:pStyle w:val="Source"/>
              <w:rPr>
                <w:sz w:val="24"/>
                <w:szCs w:val="24"/>
                <w:lang w:val="en-US"/>
              </w:rPr>
            </w:pPr>
            <w:bookmarkStart w:id="5" w:name="dsource" w:colFirst="0" w:colLast="0"/>
            <w:bookmarkEnd w:id="4"/>
            <w:r>
              <w:rPr>
                <w:lang w:val="en-US"/>
              </w:rPr>
              <w:t>Director, Radiocommunication Bureau</w:t>
            </w:r>
            <w:r>
              <w:rPr>
                <w:rStyle w:val="FootnoteReference"/>
                <w:rFonts w:eastAsia="Calibri"/>
                <w:lang w:val="en-US"/>
              </w:rPr>
              <w:footnoteReference w:id="1"/>
            </w:r>
          </w:p>
        </w:tc>
      </w:tr>
      <w:tr w:rsidR="00E71F3E" w:rsidTr="00D046A7">
        <w:trPr>
          <w:cantSplit/>
        </w:trPr>
        <w:tc>
          <w:tcPr>
            <w:tcW w:w="9889" w:type="dxa"/>
            <w:gridSpan w:val="2"/>
          </w:tcPr>
          <w:p w:rsidR="00E71F3E" w:rsidRPr="00A93711" w:rsidRDefault="00E71F3E" w:rsidP="00CF47E5">
            <w:pPr>
              <w:pStyle w:val="Title1"/>
            </w:pPr>
            <w:bookmarkStart w:id="6" w:name="drec" w:colFirst="0" w:colLast="0"/>
            <w:bookmarkEnd w:id="5"/>
            <w:r w:rsidRPr="00A93711">
              <w:rPr>
                <w:rFonts w:eastAsia="Calibri"/>
              </w:rPr>
              <w:t>INITIAL EVALUATION REPORT FROM A</w:t>
            </w:r>
            <w:r w:rsidR="00CF47E5">
              <w:rPr>
                <w:rFonts w:eastAsia="Calibri"/>
              </w:rPr>
              <w:t>E</w:t>
            </w:r>
            <w:r w:rsidRPr="00A93711">
              <w:rPr>
                <w:rFonts w:eastAsia="Calibri"/>
              </w:rPr>
              <w:t xml:space="preserve">G FOR CHINA </w:t>
            </w:r>
            <w:r>
              <w:rPr>
                <w:rFonts w:eastAsia="Calibri"/>
              </w:rPr>
              <w:br/>
            </w:r>
            <w:r w:rsidRPr="00A93711">
              <w:rPr>
                <w:rFonts w:eastAsia="Calibri"/>
              </w:rPr>
              <w:t>PROPONENT SUBMISSIONS OF SRIT &amp; RIT</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E71F3E" w:rsidRPr="00A93711" w:rsidRDefault="00E71F3E" w:rsidP="00C17879">
      <w:pPr>
        <w:pStyle w:val="Heading1"/>
      </w:pPr>
      <w:bookmarkStart w:id="8" w:name="dbreak"/>
      <w:bookmarkEnd w:id="7"/>
      <w:bookmarkEnd w:id="8"/>
      <w:r>
        <w:t>1</w:t>
      </w:r>
      <w:r>
        <w:tab/>
      </w:r>
      <w:r w:rsidRPr="00A93711">
        <w:t>Introduction</w:t>
      </w:r>
    </w:p>
    <w:p w:rsidR="00E71F3E" w:rsidRPr="00A93711" w:rsidRDefault="00E71F3E" w:rsidP="00C17879">
      <w:r w:rsidRPr="00A93711">
        <w:t>In accordance to the ITU-R Submission, Evaluation Process and Consensus Building for IMT-2020 (</w:t>
      </w:r>
      <w:r w:rsidR="00C17879">
        <w:t>Doc. </w:t>
      </w:r>
      <w:hyperlink r:id="rId8" w:history="1">
        <w:r w:rsidR="00C17879" w:rsidRPr="00420CE1">
          <w:rPr>
            <w:rStyle w:val="Hyperlink"/>
          </w:rPr>
          <w:t>IMT-2020/2</w:t>
        </w:r>
      </w:hyperlink>
      <w:r w:rsidRPr="00A93711">
        <w:t xml:space="preserve">), the Africa Evaluation Group (AEG) has been established as an independent evaluation group open to all African administrations, industry and academia. This initial/interim report focuses of the “inspection approach” of the </w:t>
      </w:r>
      <w:r w:rsidR="00DE7BF6">
        <w:t>China</w:t>
      </w:r>
      <w:r w:rsidR="00DE7BF6" w:rsidRPr="00A93711">
        <w:t xml:space="preserve"> </w:t>
      </w:r>
      <w:r w:rsidRPr="00A93711">
        <w:t xml:space="preserve">proponent submission of the SRIT and RIT. The inspection was conducted by reviewing the functionality and parameter provided by China. The following were inspected; (1) </w:t>
      </w:r>
      <w:r w:rsidRPr="00A93711">
        <w:rPr>
          <w:i/>
        </w:rPr>
        <w:t>energy efficiency</w:t>
      </w:r>
      <w:r w:rsidRPr="00A93711">
        <w:t xml:space="preserve">, (2) </w:t>
      </w:r>
      <w:r w:rsidRPr="00A93711">
        <w:rPr>
          <w:i/>
        </w:rPr>
        <w:t>bandwidth,</w:t>
      </w:r>
      <w:r w:rsidRPr="00A93711">
        <w:t xml:space="preserve"> (3) </w:t>
      </w:r>
      <w:r w:rsidRPr="00A93711">
        <w:rPr>
          <w:i/>
        </w:rPr>
        <w:t>support of wide range of services</w:t>
      </w:r>
      <w:r w:rsidRPr="00A93711">
        <w:t xml:space="preserve"> and (4) </w:t>
      </w:r>
      <w:r w:rsidRPr="00A93711">
        <w:rPr>
          <w:i/>
        </w:rPr>
        <w:t>supported spectrum band(s)/range(s).</w:t>
      </w:r>
    </w:p>
    <w:p w:rsidR="00E71F3E" w:rsidRPr="00A93711" w:rsidRDefault="00E71F3E" w:rsidP="00C17879">
      <w:r w:rsidRPr="00A93711">
        <w:t xml:space="preserve">This preliminary submission covers only items labelled “Inspection” in Table 1 </w:t>
      </w:r>
      <w:r w:rsidRPr="00A93711">
        <w:rPr>
          <w:i/>
        </w:rPr>
        <w:t>“Summary of evaluation methodologies</w:t>
      </w:r>
      <w:r w:rsidRPr="00A93711">
        <w:t xml:space="preserve">” of </w:t>
      </w:r>
      <w:r w:rsidR="00C17879">
        <w:t xml:space="preserve">Report </w:t>
      </w:r>
      <w:r w:rsidRPr="00A93711">
        <w:t xml:space="preserve">ITU-R M.2412-0. The assessment criteria from </w:t>
      </w:r>
      <w:r w:rsidR="00C17879">
        <w:t>Reports ITU</w:t>
      </w:r>
      <w:r w:rsidR="00C17879">
        <w:noBreakHyphen/>
        <w:t xml:space="preserve">R </w:t>
      </w:r>
      <w:r w:rsidRPr="00A93711">
        <w:t xml:space="preserve">M.2410-0 (11/2017), </w:t>
      </w:r>
      <w:r w:rsidR="00C17879">
        <w:t xml:space="preserve">ITU-R </w:t>
      </w:r>
      <w:r w:rsidRPr="00A93711">
        <w:t xml:space="preserve">M.2411-0 (11/2017) and </w:t>
      </w:r>
      <w:r w:rsidR="00C17879">
        <w:t xml:space="preserve">ITU-R </w:t>
      </w:r>
      <w:r w:rsidRPr="00A93711">
        <w:t>M.2412-0 (10/2017) have been followed.</w:t>
      </w:r>
    </w:p>
    <w:p w:rsidR="00E71F3E" w:rsidRPr="00A93711" w:rsidRDefault="00E71F3E" w:rsidP="00C17879">
      <w:pPr>
        <w:rPr>
          <w:lang w:eastAsia="ko-KR"/>
        </w:rPr>
      </w:pPr>
      <w:r w:rsidRPr="00A93711">
        <w:t>Work is in progress to expand the evaluation for further submission in time for the 34</w:t>
      </w:r>
      <w:r w:rsidRPr="00A93711">
        <w:rPr>
          <w:vertAlign w:val="superscript"/>
        </w:rPr>
        <w:t>th</w:t>
      </w:r>
      <w:r w:rsidRPr="00A93711">
        <w:t xml:space="preserve"> Working Party 5D meeting to include items labelled “Analytical” in Table 1 of </w:t>
      </w:r>
      <w:r w:rsidRPr="00A93711">
        <w:rPr>
          <w:lang w:eastAsia="ko-KR"/>
        </w:rPr>
        <w:t>Report ITU-R M.2412-0.</w:t>
      </w:r>
    </w:p>
    <w:p w:rsidR="00E71F3E" w:rsidRPr="00A93711" w:rsidRDefault="00E71F3E" w:rsidP="00C17879">
      <w:pPr>
        <w:pStyle w:val="Heading1"/>
      </w:pPr>
      <w:r>
        <w:t>2</w:t>
      </w:r>
      <w:r>
        <w:tab/>
      </w:r>
      <w:r w:rsidRPr="00A93711">
        <w:t>Evaluation of Technical Performance Requirements (TPR)</w:t>
      </w:r>
    </w:p>
    <w:p w:rsidR="00E71F3E" w:rsidRPr="00A93711" w:rsidRDefault="00E71F3E" w:rsidP="00C17879">
      <w:r w:rsidRPr="00A93711">
        <w:t>This section evaluates TPR and Other Requirements via “inspection” of the China submission for IMT-2020.</w:t>
      </w:r>
    </w:p>
    <w:p w:rsidR="00E71F3E" w:rsidRPr="00A93711" w:rsidRDefault="00E71F3E" w:rsidP="00C17879">
      <w:pPr>
        <w:pStyle w:val="Heading2"/>
      </w:pPr>
      <w:r>
        <w:t>2.1</w:t>
      </w:r>
      <w:r>
        <w:tab/>
      </w:r>
      <w:r w:rsidRPr="00A93711">
        <w:t>Energy Efficiency</w:t>
      </w:r>
    </w:p>
    <w:p w:rsidR="00E71F3E" w:rsidRPr="00A93711" w:rsidRDefault="00E71F3E" w:rsidP="00C17879">
      <w:r w:rsidRPr="00C17879">
        <w:rPr>
          <w:bCs/>
        </w:rPr>
        <w:t>F</w:t>
      </w:r>
      <w:r w:rsidRPr="00A93711">
        <w:t>rom the characteristics template, 5.2.3.2.25</w:t>
      </w:r>
      <w:r w:rsidR="00C17879">
        <w:t>.</w:t>
      </w:r>
      <w:r w:rsidRPr="00A93711">
        <w:t xml:space="preserve"> </w:t>
      </w:r>
    </w:p>
    <w:p w:rsidR="00E71F3E" w:rsidRPr="00C17879" w:rsidRDefault="00E71F3E" w:rsidP="00C17879">
      <w:pPr>
        <w:pStyle w:val="Headingb"/>
        <w:rPr>
          <w:lang w:val="en-GB"/>
        </w:rPr>
      </w:pPr>
      <w:r w:rsidRPr="00C17879">
        <w:rPr>
          <w:lang w:val="en-GB"/>
        </w:rPr>
        <w:t>For NR:</w:t>
      </w:r>
    </w:p>
    <w:p w:rsidR="00E71F3E" w:rsidRPr="00A93711" w:rsidRDefault="00E71F3E" w:rsidP="00E71F3E">
      <w:pPr>
        <w:rPr>
          <w:rFonts w:eastAsiaTheme="minorEastAsia"/>
          <w:i/>
          <w:szCs w:val="24"/>
          <w:lang w:eastAsia="zh-CN"/>
        </w:rPr>
      </w:pPr>
      <w:r w:rsidRPr="00A93711">
        <w:rPr>
          <w:rFonts w:eastAsiaTheme="minorEastAsia"/>
          <w:i/>
          <w:szCs w:val="24"/>
          <w:lang w:eastAsia="zh-CN"/>
        </w:rPr>
        <w:t xml:space="preserve">Network efficicency: The fundamental always-on transmission that must take place is the periodic SS/PBCH block. The SS/PBCK block is used for the UE to detect the cell, obtain basic information of it on PBCH, and maintain synchronization to it.  </w:t>
      </w:r>
    </w:p>
    <w:p w:rsidR="00E71F3E" w:rsidRPr="00FB0C4C" w:rsidRDefault="00E71F3E" w:rsidP="00E71F3E">
      <w:pPr>
        <w:pStyle w:val="Tabletext"/>
        <w:rPr>
          <w:rFonts w:eastAsiaTheme="minorEastAsia"/>
          <w:i/>
          <w:sz w:val="24"/>
          <w:szCs w:val="24"/>
          <w:lang w:eastAsia="zh-CN"/>
        </w:rPr>
      </w:pPr>
      <w:r w:rsidRPr="00FB0C4C">
        <w:rPr>
          <w:rFonts w:eastAsiaTheme="minorEastAsia"/>
          <w:i/>
          <w:sz w:val="24"/>
          <w:szCs w:val="24"/>
          <w:lang w:eastAsia="zh-CN"/>
        </w:rPr>
        <w:t>Device efficicency: Multiple features facilitating device energy efficiency have been specified for NR Rel-15.</w:t>
      </w:r>
    </w:p>
    <w:p w:rsidR="00E71F3E" w:rsidRPr="00CF47E5" w:rsidRDefault="00E71F3E" w:rsidP="00C17879">
      <w:pPr>
        <w:pStyle w:val="Headingb"/>
        <w:rPr>
          <w:rFonts w:eastAsiaTheme="minorEastAsia"/>
          <w:lang w:val="en-GB" w:eastAsia="zh-CN"/>
        </w:rPr>
      </w:pPr>
      <w:r w:rsidRPr="00CF47E5">
        <w:rPr>
          <w:rFonts w:eastAsiaTheme="minorEastAsia"/>
          <w:lang w:val="en-GB" w:eastAsia="zh-CN"/>
        </w:rPr>
        <w:t xml:space="preserve">For NB-IoT: </w:t>
      </w:r>
    </w:p>
    <w:p w:rsidR="00E71F3E" w:rsidRPr="00FB0C4C" w:rsidRDefault="00E71F3E" w:rsidP="00E71F3E">
      <w:pPr>
        <w:pStyle w:val="Tabletext"/>
        <w:rPr>
          <w:rFonts w:eastAsiaTheme="minorEastAsia"/>
          <w:i/>
          <w:sz w:val="24"/>
          <w:szCs w:val="24"/>
          <w:lang w:eastAsia="zh-CN"/>
        </w:rPr>
      </w:pPr>
      <w:r w:rsidRPr="00FB0C4C">
        <w:rPr>
          <w:rFonts w:eastAsiaTheme="minorEastAsia"/>
          <w:i/>
          <w:sz w:val="24"/>
          <w:szCs w:val="24"/>
          <w:lang w:eastAsia="zh-CN"/>
        </w:rPr>
        <w:t>Device efficiency: Multiple features facilitating device energy efficiency have been specified for NR Rel-15.</w:t>
      </w:r>
    </w:p>
    <w:p w:rsidR="00E71F3E" w:rsidRPr="00A93711" w:rsidRDefault="00E71F3E" w:rsidP="00C17879">
      <w:pPr>
        <w:pStyle w:val="Heading2"/>
      </w:pPr>
      <w:r>
        <w:t>2.2</w:t>
      </w:r>
      <w:r>
        <w:tab/>
      </w:r>
      <w:r w:rsidRPr="00A93711">
        <w:t>Bandwidth</w:t>
      </w:r>
    </w:p>
    <w:p w:rsidR="00C17879" w:rsidRDefault="00C17879" w:rsidP="00E71F3E">
      <w:pPr>
        <w:rPr>
          <w:szCs w:val="24"/>
        </w:rPr>
      </w:pPr>
    </w:p>
    <w:tbl>
      <w:tblPr>
        <w:tblpPr w:leftFromText="180" w:rightFromText="180" w:vertAnchor="page" w:horzAnchor="margin" w:tblpXSpec="center" w:tblpY="3907"/>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457"/>
        <w:gridCol w:w="948"/>
        <w:gridCol w:w="1134"/>
        <w:gridCol w:w="1134"/>
        <w:gridCol w:w="1193"/>
        <w:gridCol w:w="1363"/>
        <w:gridCol w:w="1271"/>
        <w:gridCol w:w="1276"/>
      </w:tblGrid>
      <w:tr w:rsidR="00C17879" w:rsidRPr="00C17879" w:rsidTr="00C17879">
        <w:trPr>
          <w:cantSplit/>
          <w:trHeight w:val="557"/>
        </w:trPr>
        <w:tc>
          <w:tcPr>
            <w:tcW w:w="1457"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bookmarkStart w:id="9" w:name="_Hlk26185597"/>
            <w:r w:rsidRPr="00C17879">
              <w:rPr>
                <w:rFonts w:asciiTheme="majorBidi" w:hAnsiTheme="majorBidi" w:cstheme="majorBidi"/>
                <w:sz w:val="18"/>
                <w:szCs w:val="18"/>
              </w:rPr>
              <w:t>Minimum technical performance requirements item (5.2.4.3.x), units, and Report</w:t>
            </w:r>
            <w:r>
              <w:rPr>
                <w:rFonts w:asciiTheme="majorBidi" w:hAnsiTheme="majorBidi" w:cstheme="majorBidi"/>
                <w:sz w:val="18"/>
                <w:szCs w:val="18"/>
              </w:rPr>
              <w:t xml:space="preserve"> </w:t>
            </w:r>
            <w:r w:rsidRPr="00C17879">
              <w:rPr>
                <w:rFonts w:asciiTheme="majorBidi" w:hAnsiTheme="majorBidi" w:cstheme="majorBidi"/>
                <w:sz w:val="18"/>
                <w:szCs w:val="18"/>
              </w:rPr>
              <w:t>ITU-R M.2410-0 section reference</w:t>
            </w:r>
            <w:r w:rsidRPr="00C17879">
              <w:rPr>
                <w:rFonts w:asciiTheme="majorBidi" w:hAnsiTheme="majorBidi" w:cstheme="majorBidi"/>
                <w:sz w:val="18"/>
                <w:szCs w:val="18"/>
                <w:vertAlign w:val="superscript"/>
              </w:rPr>
              <w:t>(1)</w:t>
            </w:r>
          </w:p>
        </w:tc>
        <w:tc>
          <w:tcPr>
            <w:tcW w:w="3216" w:type="dxa"/>
            <w:gridSpan w:val="3"/>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Category</w:t>
            </w:r>
          </w:p>
        </w:tc>
        <w:tc>
          <w:tcPr>
            <w:tcW w:w="1193"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Required value</w:t>
            </w:r>
          </w:p>
        </w:tc>
        <w:tc>
          <w:tcPr>
            <w:tcW w:w="1363"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 xml:space="preserve">Value </w:t>
            </w:r>
            <w:r w:rsidRPr="00C17879">
              <w:rPr>
                <w:rFonts w:asciiTheme="majorBidi" w:hAnsiTheme="majorBidi" w:cstheme="majorBidi"/>
                <w:sz w:val="18"/>
                <w:szCs w:val="18"/>
                <w:vertAlign w:val="superscript"/>
              </w:rPr>
              <w:t>(2)</w:t>
            </w:r>
          </w:p>
        </w:tc>
        <w:tc>
          <w:tcPr>
            <w:tcW w:w="1271"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Requirement met?</w:t>
            </w:r>
          </w:p>
        </w:tc>
        <w:tc>
          <w:tcPr>
            <w:tcW w:w="1276"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Comments</w:t>
            </w:r>
            <w:r w:rsidRPr="00C17879">
              <w:rPr>
                <w:rFonts w:asciiTheme="majorBidi" w:hAnsiTheme="majorBidi" w:cstheme="majorBidi"/>
                <w:sz w:val="18"/>
                <w:szCs w:val="18"/>
                <w:vertAlign w:val="superscript"/>
              </w:rPr>
              <w:t>(3)</w:t>
            </w:r>
          </w:p>
        </w:tc>
      </w:tr>
      <w:bookmarkEnd w:id="9"/>
      <w:tr w:rsidR="00C17879" w:rsidRPr="00C17879" w:rsidTr="00C17879">
        <w:trPr>
          <w:cantSplit/>
          <w:trHeight w:val="1400"/>
        </w:trPr>
        <w:tc>
          <w:tcPr>
            <w:tcW w:w="1457" w:type="dxa"/>
            <w:vMerge/>
            <w:tcBorders>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p>
        </w:tc>
        <w:tc>
          <w:tcPr>
            <w:tcW w:w="948" w:type="dxa"/>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Usage scenario</w:t>
            </w:r>
          </w:p>
        </w:tc>
        <w:tc>
          <w:tcPr>
            <w:tcW w:w="1134" w:type="dxa"/>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ind w:left="-108"/>
              <w:rPr>
                <w:rFonts w:asciiTheme="majorBidi" w:hAnsiTheme="majorBidi" w:cstheme="majorBidi"/>
                <w:sz w:val="18"/>
                <w:szCs w:val="18"/>
              </w:rPr>
            </w:pPr>
            <w:r w:rsidRPr="00C17879">
              <w:rPr>
                <w:rFonts w:asciiTheme="majorBidi" w:hAnsiTheme="majorBidi" w:cstheme="majorBidi"/>
                <w:sz w:val="18"/>
                <w:szCs w:val="18"/>
              </w:rPr>
              <w:t>Test environment</w:t>
            </w:r>
          </w:p>
        </w:tc>
        <w:tc>
          <w:tcPr>
            <w:tcW w:w="1134" w:type="dxa"/>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Downlink or uplink</w:t>
            </w:r>
          </w:p>
        </w:tc>
        <w:tc>
          <w:tcPr>
            <w:tcW w:w="1193" w:type="dxa"/>
            <w:vMerge/>
            <w:tcBorders>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p>
        </w:tc>
        <w:tc>
          <w:tcPr>
            <w:tcW w:w="1363" w:type="dxa"/>
            <w:vMerge/>
            <w:tcBorders>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p>
        </w:tc>
        <w:tc>
          <w:tcPr>
            <w:tcW w:w="1271" w:type="dxa"/>
            <w:vMerge/>
            <w:tcBorders>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p>
        </w:tc>
        <w:tc>
          <w:tcPr>
            <w:tcW w:w="1276" w:type="dxa"/>
            <w:vMerge/>
            <w:tcBorders>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p>
        </w:tc>
      </w:tr>
      <w:tr w:rsidR="00C17879" w:rsidRPr="00C17879" w:rsidTr="00C17879">
        <w:trPr>
          <w:cantSplit/>
          <w:trHeight w:val="1027"/>
        </w:trPr>
        <w:tc>
          <w:tcPr>
            <w:tcW w:w="1457" w:type="dxa"/>
            <w:vMerge w:val="restart"/>
            <w:tcBorders>
              <w:top w:val="single" w:sz="4" w:space="0" w:color="auto"/>
              <w:left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b/>
                <w:sz w:val="18"/>
                <w:szCs w:val="18"/>
              </w:rPr>
              <w:t>5.2.4.3.10</w:t>
            </w:r>
            <w:r w:rsidRPr="00C17879">
              <w:rPr>
                <w:rFonts w:asciiTheme="majorBidi" w:hAnsiTheme="majorBidi" w:cstheme="majorBidi"/>
                <w:sz w:val="18"/>
                <w:szCs w:val="18"/>
              </w:rPr>
              <w:br/>
              <w:t>Energy efficiency</w:t>
            </w:r>
            <w:r w:rsidRPr="00C17879">
              <w:rPr>
                <w:rFonts w:asciiTheme="majorBidi" w:hAnsiTheme="majorBidi" w:cstheme="majorBidi"/>
                <w:sz w:val="18"/>
                <w:szCs w:val="18"/>
              </w:rPr>
              <w:br/>
            </w:r>
            <w:r w:rsidRPr="00C17879">
              <w:rPr>
                <w:rFonts w:asciiTheme="majorBidi" w:hAnsiTheme="majorBidi" w:cstheme="majorBidi"/>
                <w:i/>
                <w:iCs/>
                <w:sz w:val="18"/>
                <w:szCs w:val="18"/>
              </w:rPr>
              <w:t>(4.9)</w:t>
            </w:r>
          </w:p>
        </w:tc>
        <w:tc>
          <w:tcPr>
            <w:tcW w:w="948" w:type="dxa"/>
            <w:vMerge w:val="restart"/>
            <w:tcBorders>
              <w:top w:val="single" w:sz="4" w:space="0" w:color="auto"/>
              <w:left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sz w:val="18"/>
                <w:szCs w:val="18"/>
              </w:rPr>
              <w:t>eMBB</w:t>
            </w:r>
          </w:p>
        </w:tc>
        <w:tc>
          <w:tcPr>
            <w:tcW w:w="1134" w:type="dxa"/>
            <w:vMerge w:val="restart"/>
            <w:tcBorders>
              <w:top w:val="single" w:sz="4" w:space="0" w:color="auto"/>
              <w:left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sz w:val="18"/>
                <w:szCs w:val="18"/>
              </w:rPr>
              <w:t>Not applicable</w:t>
            </w:r>
          </w:p>
        </w:tc>
        <w:tc>
          <w:tcPr>
            <w:tcW w:w="1134" w:type="dxa"/>
            <w:vMerge w:val="restart"/>
            <w:tcBorders>
              <w:top w:val="single" w:sz="4" w:space="0" w:color="auto"/>
              <w:left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sz w:val="18"/>
                <w:szCs w:val="18"/>
              </w:rPr>
              <w:t>Not applicable</w:t>
            </w:r>
          </w:p>
        </w:tc>
        <w:tc>
          <w:tcPr>
            <w:tcW w:w="1193" w:type="dxa"/>
            <w:vMerge w:val="restart"/>
            <w:tcBorders>
              <w:top w:val="single" w:sz="4" w:space="0" w:color="auto"/>
              <w:left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lang w:eastAsia="ja-JP"/>
              </w:rPr>
            </w:pPr>
            <w:r w:rsidRPr="00C17879">
              <w:rPr>
                <w:rFonts w:asciiTheme="majorBidi" w:hAnsiTheme="majorBidi" w:cstheme="majorBidi"/>
                <w:sz w:val="18"/>
                <w:szCs w:val="18"/>
                <w:lang w:eastAsia="ko-KR"/>
              </w:rPr>
              <w:t>Capability to support a high sleep ratio and long sleep duration</w:t>
            </w:r>
          </w:p>
        </w:tc>
        <w:tc>
          <w:tcPr>
            <w:tcW w:w="1363"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Sleep ratio: 80%~99.87%</w:t>
            </w:r>
          </w:p>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Sleep duration:</w:t>
            </w:r>
          </w:p>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Up to 159ms</w:t>
            </w:r>
          </w:p>
        </w:tc>
        <w:tc>
          <w:tcPr>
            <w:tcW w:w="12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tabs>
                <w:tab w:val="clear" w:pos="284"/>
              </w:tabs>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rPr>
              <w:t>Yes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Network side</w:t>
            </w:r>
          </w:p>
        </w:tc>
      </w:tr>
      <w:tr w:rsidR="00C17879" w:rsidRPr="00C17879" w:rsidTr="00C17879">
        <w:trPr>
          <w:cantSplit/>
          <w:trHeight w:val="1027"/>
        </w:trPr>
        <w:tc>
          <w:tcPr>
            <w:tcW w:w="1457" w:type="dxa"/>
            <w:vMerge/>
            <w:tcBorders>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b/>
                <w:sz w:val="18"/>
                <w:szCs w:val="18"/>
              </w:rPr>
            </w:pPr>
          </w:p>
        </w:tc>
        <w:tc>
          <w:tcPr>
            <w:tcW w:w="948" w:type="dxa"/>
            <w:vMerge/>
            <w:tcBorders>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p>
        </w:tc>
        <w:tc>
          <w:tcPr>
            <w:tcW w:w="1193" w:type="dxa"/>
            <w:vMerge/>
            <w:tcBorders>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lang w:eastAsia="ko-KR"/>
              </w:rPr>
            </w:pPr>
          </w:p>
        </w:tc>
        <w:tc>
          <w:tcPr>
            <w:tcW w:w="1363"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Sleep ratio: 84.2%~99.5%</w:t>
            </w:r>
          </w:p>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Sleep duration:</w:t>
            </w:r>
          </w:p>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2.56s~10.24s</w:t>
            </w:r>
          </w:p>
        </w:tc>
        <w:tc>
          <w:tcPr>
            <w:tcW w:w="12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tabs>
                <w:tab w:val="clear" w:pos="284"/>
              </w:tabs>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Yes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Device side</w:t>
            </w:r>
          </w:p>
        </w:tc>
      </w:tr>
    </w:tbl>
    <w:p w:rsidR="00C17879" w:rsidRDefault="00C17879" w:rsidP="00E71F3E">
      <w:pPr>
        <w:rPr>
          <w:szCs w:val="24"/>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413"/>
        <w:gridCol w:w="992"/>
        <w:gridCol w:w="1134"/>
        <w:gridCol w:w="992"/>
        <w:gridCol w:w="1276"/>
        <w:gridCol w:w="1564"/>
        <w:gridCol w:w="1271"/>
        <w:gridCol w:w="1276"/>
      </w:tblGrid>
      <w:tr w:rsidR="00C17879" w:rsidRPr="00C17879" w:rsidTr="00C17879">
        <w:trPr>
          <w:cantSplit/>
          <w:trHeight w:val="696"/>
          <w:jc w:val="center"/>
        </w:trPr>
        <w:tc>
          <w:tcPr>
            <w:tcW w:w="1413"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Minimum technical performance requirements item (5.2.4.3.x), units, and Report</w:t>
            </w:r>
            <w:r>
              <w:rPr>
                <w:rFonts w:asciiTheme="majorBidi" w:hAnsiTheme="majorBidi" w:cstheme="majorBidi"/>
                <w:sz w:val="18"/>
                <w:szCs w:val="18"/>
              </w:rPr>
              <w:t xml:space="preserve"> ITU</w:t>
            </w:r>
            <w:r>
              <w:rPr>
                <w:rFonts w:asciiTheme="majorBidi" w:hAnsiTheme="majorBidi" w:cstheme="majorBidi"/>
                <w:sz w:val="18"/>
                <w:szCs w:val="18"/>
              </w:rPr>
              <w:noBreakHyphen/>
            </w:r>
            <w:r w:rsidRPr="00C17879">
              <w:rPr>
                <w:rFonts w:asciiTheme="majorBidi" w:hAnsiTheme="majorBidi" w:cstheme="majorBidi"/>
                <w:sz w:val="18"/>
                <w:szCs w:val="18"/>
              </w:rPr>
              <w:t>R M.2410-0 section reference</w:t>
            </w:r>
            <w:r w:rsidRPr="00C17879">
              <w:rPr>
                <w:rFonts w:asciiTheme="majorBidi" w:hAnsiTheme="majorBidi" w:cstheme="majorBidi"/>
                <w:sz w:val="18"/>
                <w:szCs w:val="18"/>
                <w:vertAlign w:val="superscript"/>
              </w:rPr>
              <w:t>(1)</w:t>
            </w:r>
          </w:p>
        </w:tc>
        <w:tc>
          <w:tcPr>
            <w:tcW w:w="311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Category</w:t>
            </w:r>
          </w:p>
        </w:tc>
        <w:tc>
          <w:tcPr>
            <w:tcW w:w="1276"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spacing w:before="40" w:after="40"/>
              <w:jc w:val="center"/>
              <w:rPr>
                <w:rFonts w:asciiTheme="majorBidi" w:hAnsiTheme="majorBidi" w:cstheme="majorBidi"/>
                <w:b/>
                <w:sz w:val="18"/>
                <w:szCs w:val="18"/>
              </w:rPr>
            </w:pPr>
            <w:r w:rsidRPr="00C17879">
              <w:rPr>
                <w:rFonts w:asciiTheme="majorBidi" w:hAnsiTheme="majorBidi" w:cstheme="majorBidi"/>
                <w:b/>
                <w:sz w:val="18"/>
                <w:szCs w:val="18"/>
              </w:rPr>
              <w:t>Required value</w:t>
            </w:r>
          </w:p>
        </w:tc>
        <w:tc>
          <w:tcPr>
            <w:tcW w:w="1564"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 xml:space="preserve">Value </w:t>
            </w:r>
            <w:r w:rsidRPr="00C17879">
              <w:rPr>
                <w:rFonts w:asciiTheme="majorBidi" w:hAnsiTheme="majorBidi" w:cstheme="majorBidi"/>
                <w:sz w:val="18"/>
                <w:szCs w:val="18"/>
                <w:vertAlign w:val="superscript"/>
              </w:rPr>
              <w:t>(2)</w:t>
            </w:r>
          </w:p>
        </w:tc>
        <w:tc>
          <w:tcPr>
            <w:tcW w:w="1271"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Requirement met?</w:t>
            </w:r>
          </w:p>
        </w:tc>
        <w:tc>
          <w:tcPr>
            <w:tcW w:w="1276"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Comments</w:t>
            </w:r>
            <w:r w:rsidRPr="00C17879">
              <w:rPr>
                <w:rFonts w:asciiTheme="majorBidi" w:hAnsiTheme="majorBidi" w:cstheme="majorBidi"/>
                <w:sz w:val="18"/>
                <w:szCs w:val="18"/>
                <w:vertAlign w:val="superscript"/>
              </w:rPr>
              <w:t>(3)</w:t>
            </w:r>
          </w:p>
        </w:tc>
      </w:tr>
      <w:tr w:rsidR="00C17879" w:rsidRPr="00C17879" w:rsidTr="00C17879">
        <w:trPr>
          <w:cantSplit/>
          <w:trHeight w:val="696"/>
          <w:jc w:val="center"/>
        </w:trPr>
        <w:tc>
          <w:tcPr>
            <w:tcW w:w="1413" w:type="dxa"/>
            <w:vMerge/>
            <w:tcBorders>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b/>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Usage scenario</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ind w:left="-108"/>
              <w:rPr>
                <w:rFonts w:asciiTheme="majorBidi" w:hAnsiTheme="majorBidi" w:cstheme="majorBidi"/>
                <w:sz w:val="18"/>
                <w:szCs w:val="18"/>
              </w:rPr>
            </w:pPr>
            <w:r w:rsidRPr="00C17879">
              <w:rPr>
                <w:rFonts w:asciiTheme="majorBidi" w:hAnsiTheme="majorBidi" w:cstheme="majorBidi"/>
                <w:sz w:val="18"/>
                <w:szCs w:val="18"/>
              </w:rPr>
              <w:t>Test environment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head"/>
              <w:spacing w:before="40" w:after="40"/>
              <w:rPr>
                <w:rFonts w:asciiTheme="majorBidi" w:hAnsiTheme="majorBidi" w:cstheme="majorBidi"/>
                <w:sz w:val="18"/>
                <w:szCs w:val="18"/>
              </w:rPr>
            </w:pPr>
            <w:r w:rsidRPr="00C17879">
              <w:rPr>
                <w:rFonts w:asciiTheme="majorBidi" w:hAnsiTheme="majorBidi" w:cstheme="majorBidi"/>
                <w:sz w:val="18"/>
                <w:szCs w:val="18"/>
              </w:rPr>
              <w:t>Downlink or uplink</w:t>
            </w:r>
          </w:p>
        </w:tc>
        <w:tc>
          <w:tcPr>
            <w:tcW w:w="1276" w:type="dxa"/>
            <w:vMerge/>
            <w:tcBorders>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sz w:val="18"/>
                <w:szCs w:val="18"/>
              </w:rPr>
            </w:pPr>
          </w:p>
        </w:tc>
        <w:tc>
          <w:tcPr>
            <w:tcW w:w="1564" w:type="dxa"/>
            <w:vMerge/>
            <w:tcBorders>
              <w:left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lang w:eastAsia="zh-CN"/>
              </w:rPr>
            </w:pPr>
          </w:p>
        </w:tc>
        <w:tc>
          <w:tcPr>
            <w:tcW w:w="1271" w:type="dxa"/>
            <w:vMerge/>
            <w:tcBorders>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tabs>
                <w:tab w:val="clear" w:pos="284"/>
              </w:tabs>
              <w:jc w:val="center"/>
              <w:rPr>
                <w:rFonts w:asciiTheme="majorBidi" w:hAnsiTheme="majorBidi" w:cstheme="majorBidi"/>
                <w:i/>
                <w:color w:val="0033CC"/>
                <w:sz w:val="18"/>
                <w:szCs w:val="18"/>
              </w:rPr>
            </w:pPr>
          </w:p>
        </w:tc>
        <w:tc>
          <w:tcPr>
            <w:tcW w:w="1276" w:type="dxa"/>
            <w:vMerge/>
            <w:tcBorders>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rPr>
            </w:pPr>
          </w:p>
        </w:tc>
      </w:tr>
      <w:tr w:rsidR="00C17879" w:rsidRPr="00C17879" w:rsidTr="00C17879">
        <w:trPr>
          <w:cantSplit/>
          <w:trHeight w:val="696"/>
          <w:jc w:val="center"/>
        </w:trPr>
        <w:tc>
          <w:tcPr>
            <w:tcW w:w="1413"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i/>
                <w:iCs/>
                <w:sz w:val="18"/>
                <w:szCs w:val="18"/>
              </w:rPr>
            </w:pPr>
            <w:r w:rsidRPr="00C17879">
              <w:rPr>
                <w:rFonts w:asciiTheme="majorBidi" w:hAnsiTheme="majorBidi" w:cstheme="majorBidi"/>
                <w:b/>
                <w:sz w:val="18"/>
                <w:szCs w:val="18"/>
              </w:rPr>
              <w:t>5.2.4.3.15</w:t>
            </w:r>
            <w:r w:rsidRPr="00C17879">
              <w:rPr>
                <w:rFonts w:asciiTheme="majorBidi" w:hAnsiTheme="majorBidi" w:cstheme="majorBidi"/>
                <w:sz w:val="18"/>
                <w:szCs w:val="18"/>
              </w:rPr>
              <w:br/>
              <w:t xml:space="preserve">Bandwidth </w:t>
            </w:r>
            <w:r w:rsidRPr="00C17879">
              <w:rPr>
                <w:rFonts w:asciiTheme="majorBidi" w:hAnsiTheme="majorBidi" w:cstheme="majorBidi"/>
                <w:sz w:val="18"/>
                <w:szCs w:val="18"/>
                <w:lang w:eastAsia="ja-JP"/>
              </w:rPr>
              <w:t>and Scalability</w:t>
            </w:r>
            <w:r w:rsidRPr="00C17879">
              <w:rPr>
                <w:rFonts w:asciiTheme="majorBidi" w:hAnsiTheme="majorBidi" w:cstheme="majorBidi"/>
                <w:sz w:val="18"/>
                <w:szCs w:val="18"/>
              </w:rPr>
              <w:br/>
            </w:r>
            <w:r w:rsidRPr="00C17879">
              <w:rPr>
                <w:rFonts w:asciiTheme="majorBidi" w:hAnsiTheme="majorBidi" w:cstheme="majorBidi"/>
                <w:i/>
                <w:iCs/>
                <w:sz w:val="18"/>
                <w:szCs w:val="18"/>
              </w:rPr>
              <w:t>(4.13)</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sz w:val="18"/>
                <w:szCs w:val="18"/>
              </w:rPr>
              <w:t>Not applicable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sz w:val="18"/>
                <w:szCs w:val="18"/>
              </w:rPr>
              <w:t>Not applicable</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sz w:val="18"/>
                <w:szCs w:val="18"/>
              </w:rPr>
              <w:t>Not applicable</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sz w:val="18"/>
                <w:szCs w:val="18"/>
              </w:rPr>
              <w:t>At least 100 MHz</w:t>
            </w:r>
          </w:p>
        </w:tc>
        <w:tc>
          <w:tcPr>
            <w:tcW w:w="1564" w:type="dxa"/>
            <w:vMerge w:val="restart"/>
            <w:tcBorders>
              <w:top w:val="single" w:sz="4" w:space="0" w:color="auto"/>
              <w:left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lang w:eastAsia="zh-CN"/>
              </w:rPr>
            </w:pPr>
            <w:r>
              <w:rPr>
                <w:rFonts w:asciiTheme="majorBidi" w:hAnsiTheme="majorBidi" w:cstheme="majorBidi"/>
                <w:i/>
                <w:color w:val="0033CC"/>
                <w:sz w:val="18"/>
                <w:szCs w:val="18"/>
                <w:lang w:eastAsia="zh-CN"/>
              </w:rPr>
              <w:t>800 MHz ~ 6.4 </w:t>
            </w:r>
            <w:r w:rsidRPr="00C17879">
              <w:rPr>
                <w:rFonts w:asciiTheme="majorBidi" w:hAnsiTheme="majorBidi" w:cstheme="majorBidi"/>
                <w:i/>
                <w:color w:val="0033CC"/>
                <w:sz w:val="18"/>
                <w:szCs w:val="18"/>
                <w:lang w:eastAsia="zh-CN"/>
              </w:rPr>
              <w:t>GHz</w:t>
            </w:r>
          </w:p>
        </w:tc>
        <w:tc>
          <w:tcPr>
            <w:tcW w:w="12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tabs>
                <w:tab w:val="clear" w:pos="284"/>
              </w:tabs>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rPr>
              <w:t>Yes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rPr>
            </w:pPr>
          </w:p>
        </w:tc>
      </w:tr>
      <w:tr w:rsidR="00C17879" w:rsidRPr="00C17879" w:rsidTr="00C17879">
        <w:trPr>
          <w:cantSplit/>
          <w:trHeight w:val="406"/>
          <w:jc w:val="center"/>
        </w:trPr>
        <w:tc>
          <w:tcPr>
            <w:tcW w:w="141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spacing w:before="40" w:after="40"/>
              <w:jc w:val="center"/>
              <w:rPr>
                <w:rFonts w:asciiTheme="majorBidi" w:hAnsiTheme="majorBidi" w:cstheme="majorBidi"/>
                <w:i/>
                <w:iCs/>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spacing w:before="40" w:after="40"/>
              <w:jc w:val="center"/>
              <w:rPr>
                <w:rFonts w:asciiTheme="majorBidi" w:hAnsiTheme="majorBidi" w:cstheme="majorBidi"/>
                <w:sz w:val="18"/>
                <w:szCs w:val="18"/>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spacing w:before="40" w:after="40"/>
              <w:jc w:val="center"/>
              <w:rPr>
                <w:rFonts w:asciiTheme="majorBidi" w:hAnsiTheme="majorBidi" w:cstheme="majorBidi"/>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spacing w:before="40" w:after="40"/>
              <w:jc w:val="center"/>
              <w:rPr>
                <w:rFonts w:asciiTheme="majorBidi" w:hAnsiTheme="majorBidi" w:cstheme="majorBidi"/>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lang w:eastAsia="ja-JP"/>
              </w:rPr>
            </w:pPr>
            <w:r w:rsidRPr="00C17879">
              <w:rPr>
                <w:rFonts w:asciiTheme="majorBidi" w:hAnsiTheme="majorBidi" w:cstheme="majorBidi"/>
                <w:sz w:val="18"/>
                <w:szCs w:val="18"/>
                <w:lang w:eastAsia="ja-JP"/>
              </w:rPr>
              <w:t>Up to 1 GHz</w:t>
            </w:r>
          </w:p>
        </w:tc>
        <w:tc>
          <w:tcPr>
            <w:tcW w:w="1564" w:type="dxa"/>
            <w:vMerge/>
            <w:tcBorders>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rPr>
            </w:pPr>
          </w:p>
        </w:tc>
        <w:tc>
          <w:tcPr>
            <w:tcW w:w="12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tabs>
                <w:tab w:val="clear" w:pos="284"/>
              </w:tabs>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rPr>
              <w:t>Yes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rPr>
            </w:pPr>
          </w:p>
        </w:tc>
      </w:tr>
      <w:tr w:rsidR="00C17879" w:rsidRPr="00C17879" w:rsidTr="00C17879">
        <w:trPr>
          <w:cantSplit/>
          <w:trHeight w:val="1587"/>
          <w:jc w:val="center"/>
        </w:trPr>
        <w:tc>
          <w:tcPr>
            <w:tcW w:w="141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spacing w:before="40" w:after="40"/>
              <w:jc w:val="center"/>
              <w:rPr>
                <w:rFonts w:asciiTheme="majorBidi" w:hAnsiTheme="majorBidi" w:cstheme="majorBidi"/>
                <w:i/>
                <w:iCs/>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spacing w:before="40" w:after="40"/>
              <w:jc w:val="center"/>
              <w:rPr>
                <w:rFonts w:asciiTheme="majorBidi" w:hAnsiTheme="majorBidi" w:cstheme="majorBidi"/>
                <w:sz w:val="18"/>
                <w:szCs w:val="18"/>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spacing w:before="40" w:after="40"/>
              <w:jc w:val="center"/>
              <w:rPr>
                <w:rFonts w:asciiTheme="majorBidi" w:hAnsiTheme="majorBidi" w:cstheme="majorBidi"/>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spacing w:before="40" w:after="40"/>
              <w:jc w:val="center"/>
              <w:rPr>
                <w:rFonts w:asciiTheme="majorBidi" w:hAnsiTheme="majorBidi" w:cstheme="majorBidi"/>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sz w:val="18"/>
                <w:szCs w:val="18"/>
              </w:rPr>
            </w:pPr>
            <w:r w:rsidRPr="00C17879">
              <w:rPr>
                <w:rFonts w:asciiTheme="majorBidi" w:hAnsiTheme="majorBidi" w:cstheme="majorBidi"/>
                <w:sz w:val="18"/>
                <w:szCs w:val="18"/>
                <w:lang w:eastAsia="zh-CN"/>
              </w:rPr>
              <w:t>Support of multiple different bandwidth values</w:t>
            </w:r>
            <w:r w:rsidRPr="00C17879">
              <w:rPr>
                <w:rFonts w:asciiTheme="majorBidi" w:hAnsiTheme="majorBidi" w:cstheme="majorBidi"/>
                <w:sz w:val="18"/>
                <w:szCs w:val="18"/>
                <w:vertAlign w:val="superscript"/>
                <w:lang w:eastAsia="zh-CN"/>
              </w:rPr>
              <w:t>(4)</w:t>
            </w:r>
          </w:p>
        </w:tc>
        <w:tc>
          <w:tcPr>
            <w:tcW w:w="1564"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lang w:eastAsia="zh-CN"/>
              </w:rPr>
            </w:pPr>
            <w:r w:rsidRPr="00C17879">
              <w:rPr>
                <w:rFonts w:asciiTheme="majorBidi" w:hAnsiTheme="majorBidi" w:cstheme="majorBidi"/>
                <w:i/>
                <w:color w:val="0033CC"/>
                <w:sz w:val="18"/>
                <w:szCs w:val="18"/>
                <w:lang w:eastAsia="zh-CN"/>
              </w:rPr>
              <w:t>3~13 different component carrier bandwidth values</w:t>
            </w:r>
          </w:p>
        </w:tc>
        <w:tc>
          <w:tcPr>
            <w:tcW w:w="127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17879" w:rsidRPr="00C17879" w:rsidRDefault="00C17879" w:rsidP="00C17879">
            <w:pPr>
              <w:pStyle w:val="Tabletext"/>
              <w:jc w:val="center"/>
              <w:rPr>
                <w:rFonts w:asciiTheme="majorBidi" w:hAnsiTheme="majorBidi" w:cstheme="majorBidi"/>
                <w:i/>
                <w:color w:val="0033CC"/>
                <w:sz w:val="18"/>
                <w:szCs w:val="18"/>
              </w:rPr>
            </w:pPr>
            <w:r w:rsidRPr="00C17879">
              <w:rPr>
                <w:rFonts w:asciiTheme="majorBidi" w:hAnsiTheme="majorBidi" w:cstheme="majorBidi"/>
                <w:i/>
                <w:color w:val="0033CC"/>
                <w:sz w:val="18"/>
                <w:szCs w:val="18"/>
              </w:rPr>
              <w:t>Yes</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C17879" w:rsidRPr="00C17879" w:rsidRDefault="00C17879" w:rsidP="00C17879">
            <w:pPr>
              <w:pStyle w:val="Tabletext"/>
              <w:jc w:val="center"/>
              <w:rPr>
                <w:rFonts w:asciiTheme="majorBidi" w:hAnsiTheme="majorBidi" w:cstheme="majorBidi"/>
                <w:i/>
                <w:color w:val="0033CC"/>
                <w:sz w:val="18"/>
                <w:szCs w:val="18"/>
                <w:lang w:eastAsia="zh-CN"/>
              </w:rPr>
            </w:pPr>
          </w:p>
        </w:tc>
      </w:tr>
    </w:tbl>
    <w:p w:rsidR="00C17879" w:rsidRDefault="00C17879" w:rsidP="00E71F3E">
      <w:pPr>
        <w:rPr>
          <w:szCs w:val="24"/>
        </w:rPr>
      </w:pPr>
    </w:p>
    <w:p w:rsidR="00E71F3E" w:rsidRPr="00C17879" w:rsidRDefault="00E71F3E" w:rsidP="00C17879">
      <w:r w:rsidRPr="00C17879">
        <w:t>From the charac</w:t>
      </w:r>
      <w:r w:rsidR="00C17879" w:rsidRPr="00C17879">
        <w:t>teristics template, 5.2.3.2.8.2</w:t>
      </w:r>
      <w:r w:rsidR="00C17879">
        <w:t>.</w:t>
      </w:r>
    </w:p>
    <w:p w:rsidR="00E71F3E" w:rsidRPr="00C17879" w:rsidRDefault="00E71F3E" w:rsidP="00C17879">
      <w:pPr>
        <w:rPr>
          <w:rFonts w:eastAsiaTheme="minorEastAsia"/>
          <w:i/>
          <w:iCs/>
          <w:lang w:eastAsia="zh-CN"/>
        </w:rPr>
      </w:pPr>
      <w:r w:rsidRPr="00C17879">
        <w:rPr>
          <w:rFonts w:eastAsiaTheme="minorEastAsia"/>
          <w:i/>
          <w:iCs/>
          <w:lang w:eastAsia="zh-CN"/>
        </w:rPr>
        <w:t>One component carrier supports a scalable bandwidth, 5, 10, 15, 20, 25, 40, 50, 60, 80, 100</w:t>
      </w:r>
      <w:r w:rsidR="00C17879">
        <w:rPr>
          <w:rFonts w:eastAsiaTheme="minorEastAsia"/>
          <w:i/>
          <w:iCs/>
          <w:lang w:eastAsia="zh-CN"/>
        </w:rPr>
        <w:t> </w:t>
      </w:r>
      <w:r w:rsidRPr="00C17879">
        <w:rPr>
          <w:rFonts w:eastAsiaTheme="minorEastAsia"/>
          <w:i/>
          <w:iCs/>
          <w:lang w:eastAsia="zh-CN"/>
        </w:rPr>
        <w:t>MHz for frequency range 450 MHz to 6</w:t>
      </w:r>
      <w:r w:rsidR="00C17879">
        <w:rPr>
          <w:rFonts w:eastAsiaTheme="minorEastAsia"/>
          <w:i/>
          <w:iCs/>
          <w:lang w:eastAsia="zh-CN"/>
        </w:rPr>
        <w:t xml:space="preserve"> </w:t>
      </w:r>
      <w:r w:rsidRPr="00C17879">
        <w:rPr>
          <w:rFonts w:eastAsiaTheme="minorEastAsia"/>
          <w:i/>
          <w:iCs/>
          <w:lang w:eastAsia="zh-CN"/>
        </w:rPr>
        <w:t>000 MHz (see [38.101] for the actual support of bandwidth for each band), with guard band ratio from 20% to 2%; and a scalable bandwidth, 50, 100, 200, 400</w:t>
      </w:r>
      <w:r w:rsidR="00C17879">
        <w:rPr>
          <w:rFonts w:eastAsiaTheme="minorEastAsia"/>
          <w:i/>
          <w:iCs/>
          <w:lang w:eastAsia="zh-CN"/>
        </w:rPr>
        <w:t> </w:t>
      </w:r>
      <w:r w:rsidRPr="00C17879">
        <w:rPr>
          <w:rFonts w:eastAsiaTheme="minorEastAsia"/>
          <w:i/>
          <w:iCs/>
          <w:lang w:eastAsia="zh-CN"/>
        </w:rPr>
        <w:t>MHz for frequency range 24</w:t>
      </w:r>
      <w:r w:rsidR="00C17879">
        <w:rPr>
          <w:rFonts w:eastAsiaTheme="minorEastAsia"/>
          <w:i/>
          <w:iCs/>
          <w:lang w:eastAsia="zh-CN"/>
        </w:rPr>
        <w:t> </w:t>
      </w:r>
      <w:r w:rsidRPr="00C17879">
        <w:rPr>
          <w:rFonts w:eastAsiaTheme="minorEastAsia"/>
          <w:i/>
          <w:iCs/>
          <w:lang w:eastAsia="zh-CN"/>
        </w:rPr>
        <w:t>250</w:t>
      </w:r>
      <w:r w:rsidR="00C17879">
        <w:rPr>
          <w:rFonts w:eastAsiaTheme="minorEastAsia"/>
          <w:i/>
          <w:iCs/>
          <w:lang w:eastAsia="zh-CN"/>
        </w:rPr>
        <w:t>-</w:t>
      </w:r>
      <w:r w:rsidRPr="00C17879">
        <w:rPr>
          <w:rFonts w:eastAsiaTheme="minorEastAsia"/>
          <w:i/>
          <w:iCs/>
          <w:lang w:eastAsia="zh-CN"/>
        </w:rPr>
        <w:t>52</w:t>
      </w:r>
      <w:r w:rsidR="00C17879">
        <w:rPr>
          <w:rFonts w:eastAsiaTheme="minorEastAsia"/>
          <w:i/>
          <w:iCs/>
          <w:lang w:eastAsia="zh-CN"/>
        </w:rPr>
        <w:t> </w:t>
      </w:r>
      <w:r w:rsidRPr="00C17879">
        <w:rPr>
          <w:rFonts w:eastAsiaTheme="minorEastAsia"/>
          <w:i/>
          <w:iCs/>
          <w:lang w:eastAsia="zh-CN"/>
        </w:rPr>
        <w:t xml:space="preserve">600 MHz (see [38.101] for the actual support of bandwidth for each band), with guard band ratio from 8% to 5%. By aggregating multiple component carriers, transmission bandwidths up to 6.4 GHz are supported to provide high data rates. Component carriers can be either contiguous or non-contiguous in the frequency domain. The number of component carriers transmitted and/or received by a mobile terminal can vary over time depending on the instantaneous data rate. </w:t>
      </w:r>
    </w:p>
    <w:p w:rsidR="00E71F3E" w:rsidRPr="00A93711" w:rsidRDefault="00E71F3E" w:rsidP="00E71F3E">
      <w:pPr>
        <w:rPr>
          <w:rFonts w:eastAsiaTheme="minorEastAsia"/>
          <w:i/>
          <w:szCs w:val="24"/>
          <w:lang w:eastAsia="zh-CN"/>
        </w:rPr>
      </w:pPr>
      <w:r w:rsidRPr="00A93711">
        <w:rPr>
          <w:rFonts w:eastAsiaTheme="minorEastAsia"/>
          <w:i/>
          <w:szCs w:val="24"/>
          <w:lang w:eastAsia="zh-CN"/>
        </w:rPr>
        <w:t>For NB-IoT, the channel bandwidth is not scalable. There is not aggregation of multiple NB-IoT carriers – see item 5.2.3.2.8.1 for more details.</w:t>
      </w:r>
    </w:p>
    <w:p w:rsidR="00E71F3E" w:rsidRPr="00A93711" w:rsidRDefault="00E71F3E" w:rsidP="00C17879">
      <w:pPr>
        <w:pStyle w:val="Heading2"/>
      </w:pPr>
      <w:r>
        <w:t>2.3</w:t>
      </w:r>
      <w:r>
        <w:tab/>
      </w:r>
      <w:r w:rsidRPr="00A93711">
        <w:t>Range of Services supported</w:t>
      </w:r>
    </w:p>
    <w:p w:rsidR="00E71F3E" w:rsidRPr="00A93711" w:rsidRDefault="00E71F3E" w:rsidP="00C17879"/>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5529"/>
        <w:gridCol w:w="3118"/>
      </w:tblGrid>
      <w:tr w:rsidR="00E71F3E" w:rsidRPr="00C17879" w:rsidTr="00C17879">
        <w:trPr>
          <w:trHeight w:val="455"/>
          <w:jc w:val="center"/>
        </w:trPr>
        <w:tc>
          <w:tcPr>
            <w:tcW w:w="1134" w:type="dxa"/>
            <w:tcBorders>
              <w:top w:val="single" w:sz="4" w:space="0" w:color="auto"/>
              <w:left w:val="single" w:sz="4" w:space="0" w:color="auto"/>
              <w:bottom w:val="single" w:sz="4" w:space="0" w:color="auto"/>
              <w:right w:val="single" w:sz="4" w:space="0" w:color="auto"/>
            </w:tcBorders>
          </w:tcPr>
          <w:p w:rsidR="00E71F3E" w:rsidRPr="00C17879" w:rsidRDefault="00E71F3E" w:rsidP="00813C91">
            <w:pPr>
              <w:pStyle w:val="Tablehead"/>
              <w:rPr>
                <w:rFonts w:asciiTheme="majorBidi" w:eastAsia="SimSun" w:hAnsiTheme="majorBidi" w:cstheme="majorBidi"/>
              </w:rPr>
            </w:pPr>
          </w:p>
        </w:tc>
        <w:tc>
          <w:tcPr>
            <w:tcW w:w="5529" w:type="dxa"/>
            <w:tcBorders>
              <w:top w:val="single" w:sz="4" w:space="0" w:color="auto"/>
              <w:left w:val="single" w:sz="4" w:space="0" w:color="auto"/>
              <w:bottom w:val="single" w:sz="4" w:space="0" w:color="auto"/>
              <w:right w:val="single" w:sz="4" w:space="0" w:color="auto"/>
            </w:tcBorders>
            <w:hideMark/>
          </w:tcPr>
          <w:p w:rsidR="00E71F3E" w:rsidRPr="00C17879" w:rsidRDefault="00E71F3E" w:rsidP="00813C91">
            <w:pPr>
              <w:pStyle w:val="Tablehead"/>
              <w:rPr>
                <w:rFonts w:asciiTheme="majorBidi" w:eastAsia="SimSun" w:hAnsiTheme="majorBidi" w:cstheme="majorBidi"/>
              </w:rPr>
            </w:pPr>
            <w:r w:rsidRPr="00C17879">
              <w:rPr>
                <w:rFonts w:asciiTheme="majorBidi" w:eastAsia="SimSun" w:hAnsiTheme="majorBidi" w:cstheme="majorBidi"/>
              </w:rPr>
              <w:t>S</w:t>
            </w:r>
            <w:r w:rsidRPr="00C17879">
              <w:rPr>
                <w:rFonts w:asciiTheme="majorBidi" w:hAnsiTheme="majorBidi" w:cstheme="majorBidi"/>
              </w:rPr>
              <w:t>ervice</w:t>
            </w:r>
            <w:r w:rsidRPr="00C17879">
              <w:rPr>
                <w:rFonts w:asciiTheme="majorBidi" w:eastAsia="SimSun" w:hAnsiTheme="majorBidi" w:cstheme="majorBidi"/>
              </w:rPr>
              <w:t xml:space="preserve"> capability requirements</w:t>
            </w:r>
          </w:p>
        </w:tc>
        <w:tc>
          <w:tcPr>
            <w:tcW w:w="3118" w:type="dxa"/>
            <w:tcBorders>
              <w:top w:val="single" w:sz="4" w:space="0" w:color="auto"/>
              <w:left w:val="single" w:sz="4" w:space="0" w:color="auto"/>
              <w:bottom w:val="single" w:sz="4" w:space="0" w:color="auto"/>
              <w:right w:val="single" w:sz="4" w:space="0" w:color="auto"/>
            </w:tcBorders>
            <w:hideMark/>
          </w:tcPr>
          <w:p w:rsidR="00E71F3E" w:rsidRPr="00C17879" w:rsidRDefault="00E71F3E" w:rsidP="00813C91">
            <w:pPr>
              <w:pStyle w:val="Tablehead"/>
              <w:rPr>
                <w:rFonts w:asciiTheme="majorBidi" w:eastAsia="SimSun" w:hAnsiTheme="majorBidi" w:cstheme="majorBidi"/>
              </w:rPr>
            </w:pPr>
            <w:r w:rsidRPr="00C17879">
              <w:rPr>
                <w:rFonts w:asciiTheme="majorBidi" w:eastAsia="SimSun" w:hAnsiTheme="majorBidi" w:cstheme="majorBidi"/>
              </w:rPr>
              <w:t>Evaluator’s comments</w:t>
            </w:r>
          </w:p>
        </w:tc>
      </w:tr>
      <w:tr w:rsidR="00E71F3E" w:rsidRPr="00C17879" w:rsidTr="00C17879">
        <w:trPr>
          <w:trHeight w:val="2210"/>
          <w:jc w:val="center"/>
        </w:trPr>
        <w:tc>
          <w:tcPr>
            <w:tcW w:w="1134" w:type="dxa"/>
            <w:tcBorders>
              <w:top w:val="single" w:sz="4" w:space="0" w:color="auto"/>
              <w:left w:val="single" w:sz="4" w:space="0" w:color="auto"/>
              <w:bottom w:val="single" w:sz="4" w:space="0" w:color="auto"/>
              <w:right w:val="single" w:sz="4" w:space="0" w:color="auto"/>
            </w:tcBorders>
            <w:hideMark/>
          </w:tcPr>
          <w:p w:rsidR="00E71F3E" w:rsidRPr="00C17879" w:rsidRDefault="00E71F3E" w:rsidP="00C17879">
            <w:pPr>
              <w:pStyle w:val="Tabletext"/>
              <w:jc w:val="center"/>
              <w:rPr>
                <w:rFonts w:asciiTheme="majorBidi" w:eastAsia="MS Mincho" w:hAnsiTheme="majorBidi" w:cstheme="majorBidi"/>
                <w:b/>
                <w:bCs/>
              </w:rPr>
            </w:pPr>
            <w:r w:rsidRPr="00C17879">
              <w:rPr>
                <w:rFonts w:asciiTheme="majorBidi" w:hAnsiTheme="majorBidi" w:cstheme="majorBidi"/>
                <w:b/>
                <w:bCs/>
              </w:rPr>
              <w:t>5</w:t>
            </w:r>
            <w:r w:rsidRPr="00C17879">
              <w:rPr>
                <w:rFonts w:asciiTheme="majorBidi" w:eastAsia="SimSun" w:hAnsiTheme="majorBidi" w:cstheme="majorBidi"/>
                <w:b/>
                <w:bCs/>
              </w:rPr>
              <w:t>.2.4.1</w:t>
            </w:r>
            <w:r w:rsidRPr="00C17879">
              <w:rPr>
                <w:rFonts w:asciiTheme="majorBidi" w:hAnsiTheme="majorBidi" w:cstheme="majorBidi"/>
                <w:b/>
                <w:bCs/>
              </w:rPr>
              <w:t>.1</w:t>
            </w:r>
          </w:p>
        </w:tc>
        <w:tc>
          <w:tcPr>
            <w:tcW w:w="5529" w:type="dxa"/>
            <w:tcBorders>
              <w:top w:val="single" w:sz="4" w:space="0" w:color="auto"/>
              <w:left w:val="single" w:sz="4" w:space="0" w:color="auto"/>
              <w:bottom w:val="single" w:sz="4" w:space="0" w:color="auto"/>
              <w:right w:val="single" w:sz="4" w:space="0" w:color="auto"/>
            </w:tcBorders>
            <w:hideMark/>
          </w:tcPr>
          <w:p w:rsidR="00E71F3E" w:rsidRPr="00C17879" w:rsidRDefault="00E71F3E" w:rsidP="00813C91">
            <w:pPr>
              <w:pStyle w:val="Tabletext"/>
              <w:rPr>
                <w:rFonts w:asciiTheme="majorBidi" w:eastAsia="SimSun" w:hAnsiTheme="majorBidi" w:cstheme="majorBidi"/>
                <w:b/>
                <w:bCs/>
              </w:rPr>
            </w:pPr>
            <w:r w:rsidRPr="00C17879">
              <w:rPr>
                <w:rFonts w:asciiTheme="majorBidi" w:hAnsiTheme="majorBidi" w:cstheme="majorBidi"/>
                <w:b/>
                <w:bCs/>
              </w:rPr>
              <w:t>Support for wide range of services</w:t>
            </w:r>
          </w:p>
          <w:p w:rsidR="00E71F3E" w:rsidRPr="00C17879" w:rsidRDefault="00E71F3E" w:rsidP="00813C91">
            <w:pPr>
              <w:pStyle w:val="Tabletext"/>
              <w:rPr>
                <w:rFonts w:asciiTheme="majorBidi" w:eastAsia="SimSun" w:hAnsiTheme="majorBidi" w:cstheme="majorBidi"/>
              </w:rPr>
            </w:pPr>
            <w:r w:rsidRPr="00C17879">
              <w:rPr>
                <w:rFonts w:asciiTheme="majorBidi" w:hAnsiTheme="majorBidi" w:cstheme="majorBidi"/>
              </w:rPr>
              <w:t xml:space="preserve">Is the proposal able to support a range of services across </w:t>
            </w:r>
            <w:r w:rsidRPr="00C17879">
              <w:rPr>
                <w:rFonts w:asciiTheme="majorBidi" w:eastAsia="Malgun Gothic" w:hAnsiTheme="majorBidi" w:cstheme="majorBidi"/>
              </w:rPr>
              <w:t>different</w:t>
            </w:r>
            <w:r w:rsidRPr="00C17879">
              <w:rPr>
                <w:rFonts w:asciiTheme="majorBidi" w:hAnsiTheme="majorBidi" w:cstheme="majorBidi"/>
              </w:rPr>
              <w:t xml:space="preserve"> usage scenarios (eMBB, URLLC, and mMTC)</w:t>
            </w:r>
            <w:r w:rsidRPr="00C17879">
              <w:rPr>
                <w:rFonts w:asciiTheme="majorBidi" w:eastAsia="SimSun" w:hAnsiTheme="majorBidi" w:cstheme="majorBidi"/>
              </w:rPr>
              <w:t xml:space="preserve">?: </w:t>
            </w:r>
          </w:p>
          <w:p w:rsidR="00E71F3E" w:rsidRPr="00C17879" w:rsidRDefault="00E71F3E" w:rsidP="00813C91">
            <w:pPr>
              <w:pStyle w:val="Tabletext"/>
              <w:rPr>
                <w:rFonts w:asciiTheme="majorBidi" w:eastAsia="MS Mincho" w:hAnsiTheme="majorBidi" w:cstheme="majorBidi"/>
              </w:rPr>
            </w:pPr>
            <w:r w:rsidRPr="00C17879">
              <w:rPr>
                <w:rFonts w:asciiTheme="majorBidi" w:eastAsia="SimSun" w:hAnsiTheme="majorBidi" w:cstheme="majorBidi"/>
              </w:rPr>
              <w:tab/>
            </w:r>
            <w:r w:rsidRPr="00C17879">
              <w:rPr>
                <w:rFonts w:asciiTheme="majorBidi" w:eastAsia="SimSun" w:hAnsiTheme="majorBidi" w:cstheme="majorBidi"/>
              </w:rPr>
              <w:sym w:font="Times New Roman" w:char="F072"/>
            </w:r>
            <w:r w:rsidRPr="00C17879">
              <w:rPr>
                <w:rFonts w:asciiTheme="majorBidi" w:eastAsia="SimSun" w:hAnsiTheme="majorBidi" w:cstheme="majorBidi"/>
                <w:b/>
                <w:bCs/>
                <w:i/>
                <w:color w:val="000000" w:themeColor="text1"/>
              </w:rPr>
              <w:t>YES</w:t>
            </w:r>
          </w:p>
          <w:p w:rsidR="00E71F3E" w:rsidRPr="00C17879" w:rsidRDefault="00E71F3E" w:rsidP="00813C91">
            <w:pPr>
              <w:pStyle w:val="Tabletext"/>
              <w:rPr>
                <w:rFonts w:asciiTheme="majorBidi" w:hAnsiTheme="majorBidi" w:cstheme="majorBidi"/>
                <w:lang w:eastAsia="zh-CN"/>
              </w:rPr>
            </w:pPr>
            <w:r w:rsidRPr="00C17879">
              <w:rPr>
                <w:rFonts w:asciiTheme="majorBidi" w:hAnsiTheme="majorBidi" w:cstheme="majorBidi"/>
              </w:rPr>
              <w:t xml:space="preserve">Specify which usage scenarios (eMBB, URLLC, and mMTC) the </w:t>
            </w:r>
            <w:r w:rsidRPr="00C17879">
              <w:rPr>
                <w:rFonts w:asciiTheme="majorBidi" w:eastAsia="SimSun" w:hAnsiTheme="majorBidi" w:cstheme="majorBidi"/>
              </w:rPr>
              <w:t xml:space="preserve">candidate RIT or candidate SRIT can </w:t>
            </w:r>
            <w:r w:rsidRPr="00C17879">
              <w:rPr>
                <w:rFonts w:asciiTheme="majorBidi" w:hAnsiTheme="majorBidi" w:cstheme="majorBidi"/>
              </w:rPr>
              <w:t>support.</w:t>
            </w:r>
            <w:r w:rsidRPr="00C17879">
              <w:rPr>
                <w:rFonts w:asciiTheme="majorBidi" w:hAnsiTheme="majorBidi" w:cstheme="majorBidi"/>
                <w:vertAlign w:val="superscript"/>
                <w:lang w:eastAsia="ko-KR"/>
              </w:rPr>
              <w:t>(1)</w:t>
            </w:r>
          </w:p>
          <w:p w:rsidR="00E71F3E" w:rsidRPr="00C17879" w:rsidRDefault="00E71F3E" w:rsidP="00813C91">
            <w:pPr>
              <w:pStyle w:val="Tabletext"/>
              <w:rPr>
                <w:rFonts w:asciiTheme="majorBidi" w:eastAsia="Malgun Gothic" w:hAnsiTheme="majorBidi" w:cstheme="majorBidi"/>
                <w:i/>
                <w:color w:val="0000FF"/>
                <w:lang w:eastAsia="zh-CN"/>
              </w:rPr>
            </w:pPr>
            <w:r w:rsidRPr="00C17879">
              <w:rPr>
                <w:rFonts w:asciiTheme="majorBidi" w:hAnsiTheme="majorBidi" w:cstheme="majorBidi"/>
                <w:i/>
                <w:color w:val="0000FF"/>
                <w:lang w:eastAsia="zh-CN"/>
              </w:rPr>
              <w:t>The candidate RIT composed of NR and NB-IoT can support eMBB, URLLC and mMTC usage scenarios.</w:t>
            </w:r>
          </w:p>
        </w:tc>
        <w:tc>
          <w:tcPr>
            <w:tcW w:w="3118" w:type="dxa"/>
            <w:tcBorders>
              <w:top w:val="single" w:sz="4" w:space="0" w:color="auto"/>
              <w:left w:val="single" w:sz="4" w:space="0" w:color="auto"/>
              <w:bottom w:val="single" w:sz="4" w:space="0" w:color="auto"/>
              <w:right w:val="single" w:sz="4" w:space="0" w:color="auto"/>
            </w:tcBorders>
          </w:tcPr>
          <w:p w:rsidR="00E71F3E" w:rsidRPr="00C17879" w:rsidRDefault="00E71F3E" w:rsidP="00813C91">
            <w:pPr>
              <w:pStyle w:val="Tabletext"/>
              <w:rPr>
                <w:rFonts w:asciiTheme="majorBidi" w:hAnsiTheme="majorBidi" w:cstheme="majorBidi"/>
                <w:i/>
                <w:color w:val="0000FF"/>
                <w:lang w:eastAsia="zh-CN"/>
              </w:rPr>
            </w:pPr>
            <w:r w:rsidRPr="00C17879">
              <w:rPr>
                <w:rFonts w:asciiTheme="majorBidi" w:hAnsiTheme="majorBidi" w:cstheme="majorBidi"/>
                <w:i/>
                <w:color w:val="0000FF"/>
                <w:lang w:eastAsia="zh-CN"/>
              </w:rPr>
              <w:t>The assessment of service requirement follows the evaluation method as defined in Section 7.3.3 in Report ITU-R M.2412.</w:t>
            </w:r>
          </w:p>
        </w:tc>
      </w:tr>
    </w:tbl>
    <w:p w:rsidR="00E71F3E" w:rsidRPr="00A93711" w:rsidRDefault="00E71F3E" w:rsidP="00C673F8">
      <w:pPr>
        <w:pStyle w:val="Heading2"/>
      </w:pPr>
      <w:r>
        <w:t>2.4</w:t>
      </w:r>
      <w:r>
        <w:tab/>
      </w:r>
      <w:r w:rsidRPr="00A93711">
        <w:t>Supported Bands/Ranges</w:t>
      </w:r>
    </w:p>
    <w:p w:rsidR="00E71F3E" w:rsidRPr="00A93711" w:rsidRDefault="00E71F3E" w:rsidP="00E71F3E"/>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8503"/>
      </w:tblGrid>
      <w:tr w:rsidR="00E71F3E" w:rsidRPr="00C17879" w:rsidTr="00C17879">
        <w:trPr>
          <w:jc w:val="center"/>
        </w:trPr>
        <w:tc>
          <w:tcPr>
            <w:tcW w:w="1278" w:type="dxa"/>
            <w:tcBorders>
              <w:top w:val="single" w:sz="4" w:space="0" w:color="auto"/>
              <w:left w:val="single" w:sz="4" w:space="0" w:color="auto"/>
              <w:bottom w:val="single" w:sz="4" w:space="0" w:color="auto"/>
              <w:right w:val="single" w:sz="4" w:space="0" w:color="auto"/>
            </w:tcBorders>
          </w:tcPr>
          <w:p w:rsidR="00E71F3E" w:rsidRPr="00C17879" w:rsidRDefault="00E71F3E" w:rsidP="00813C91">
            <w:pPr>
              <w:pStyle w:val="Tablehead"/>
              <w:rPr>
                <w:rFonts w:asciiTheme="majorBidi" w:eastAsia="SimSun" w:hAnsiTheme="majorBidi" w:cstheme="majorBidi"/>
              </w:rPr>
            </w:pPr>
          </w:p>
        </w:tc>
        <w:tc>
          <w:tcPr>
            <w:tcW w:w="8503" w:type="dxa"/>
            <w:tcBorders>
              <w:top w:val="single" w:sz="4" w:space="0" w:color="auto"/>
              <w:left w:val="single" w:sz="4" w:space="0" w:color="auto"/>
              <w:bottom w:val="single" w:sz="4" w:space="0" w:color="auto"/>
              <w:right w:val="single" w:sz="4" w:space="0" w:color="auto"/>
            </w:tcBorders>
            <w:hideMark/>
          </w:tcPr>
          <w:p w:rsidR="00E71F3E" w:rsidRPr="00C17879" w:rsidRDefault="00E71F3E" w:rsidP="00813C91">
            <w:pPr>
              <w:pStyle w:val="Tablehead"/>
              <w:rPr>
                <w:rFonts w:asciiTheme="majorBidi" w:eastAsia="SimSun" w:hAnsiTheme="majorBidi" w:cstheme="majorBidi"/>
              </w:rPr>
            </w:pPr>
            <w:r w:rsidRPr="00C17879">
              <w:rPr>
                <w:rFonts w:asciiTheme="majorBidi" w:eastAsia="SimSun" w:hAnsiTheme="majorBidi" w:cstheme="majorBidi"/>
              </w:rPr>
              <w:t>Spectrum capability requirements</w:t>
            </w:r>
          </w:p>
        </w:tc>
      </w:tr>
      <w:tr w:rsidR="00E71F3E" w:rsidRPr="00C17879" w:rsidTr="00C17879">
        <w:trPr>
          <w:jc w:val="center"/>
        </w:trPr>
        <w:tc>
          <w:tcPr>
            <w:tcW w:w="1278" w:type="dxa"/>
            <w:tcBorders>
              <w:top w:val="single" w:sz="4" w:space="0" w:color="auto"/>
              <w:left w:val="single" w:sz="4" w:space="0" w:color="auto"/>
              <w:bottom w:val="single" w:sz="4" w:space="0" w:color="auto"/>
              <w:right w:val="single" w:sz="4" w:space="0" w:color="auto"/>
            </w:tcBorders>
            <w:hideMark/>
          </w:tcPr>
          <w:p w:rsidR="00E71F3E" w:rsidRPr="00C17879" w:rsidRDefault="00E71F3E" w:rsidP="00C17879">
            <w:pPr>
              <w:pStyle w:val="Tabletext"/>
              <w:jc w:val="center"/>
              <w:rPr>
                <w:rFonts w:asciiTheme="majorBidi" w:eastAsia="SimSun" w:hAnsiTheme="majorBidi" w:cstheme="majorBidi"/>
                <w:b/>
              </w:rPr>
            </w:pPr>
            <w:r w:rsidRPr="00C17879">
              <w:rPr>
                <w:rFonts w:asciiTheme="majorBidi" w:hAnsiTheme="majorBidi" w:cstheme="majorBidi"/>
                <w:b/>
              </w:rPr>
              <w:t>5</w:t>
            </w:r>
            <w:r w:rsidRPr="00C17879">
              <w:rPr>
                <w:rFonts w:asciiTheme="majorBidi" w:eastAsia="SimSun" w:hAnsiTheme="majorBidi" w:cstheme="majorBidi"/>
                <w:b/>
              </w:rPr>
              <w:t>.2.4.2.1</w:t>
            </w:r>
          </w:p>
        </w:tc>
        <w:tc>
          <w:tcPr>
            <w:tcW w:w="8503" w:type="dxa"/>
            <w:tcBorders>
              <w:top w:val="single" w:sz="4" w:space="0" w:color="auto"/>
              <w:left w:val="single" w:sz="4" w:space="0" w:color="auto"/>
              <w:bottom w:val="single" w:sz="4" w:space="0" w:color="auto"/>
              <w:right w:val="single" w:sz="4" w:space="0" w:color="auto"/>
            </w:tcBorders>
            <w:hideMark/>
          </w:tcPr>
          <w:p w:rsidR="00E71F3E" w:rsidRPr="00C17879" w:rsidRDefault="00E71F3E" w:rsidP="00813C91">
            <w:pPr>
              <w:pStyle w:val="Tabletext"/>
              <w:rPr>
                <w:rFonts w:asciiTheme="majorBidi" w:eastAsia="SimSun" w:hAnsiTheme="majorBidi" w:cstheme="majorBidi"/>
                <w:b/>
              </w:rPr>
            </w:pPr>
            <w:r w:rsidRPr="00C17879">
              <w:rPr>
                <w:rFonts w:asciiTheme="majorBidi" w:eastAsia="SimSun" w:hAnsiTheme="majorBidi" w:cstheme="majorBidi"/>
                <w:b/>
              </w:rPr>
              <w:t>Frequency bands</w:t>
            </w:r>
            <w:r w:rsidRPr="00C17879">
              <w:rPr>
                <w:rFonts w:asciiTheme="majorBidi" w:hAnsiTheme="majorBidi" w:cstheme="majorBidi"/>
                <w:b/>
              </w:rPr>
              <w:t xml:space="preserve"> identified for IMT</w:t>
            </w:r>
          </w:p>
          <w:p w:rsidR="00E71F3E" w:rsidRPr="00C17879" w:rsidRDefault="00E71F3E" w:rsidP="00813C91">
            <w:pPr>
              <w:pStyle w:val="Tabletext"/>
              <w:rPr>
                <w:rFonts w:asciiTheme="majorBidi" w:eastAsia="SimSun" w:hAnsiTheme="majorBidi" w:cstheme="majorBidi"/>
              </w:rPr>
            </w:pPr>
            <w:r w:rsidRPr="00C17879">
              <w:rPr>
                <w:rFonts w:asciiTheme="majorBidi" w:eastAsia="SimSun" w:hAnsiTheme="majorBidi" w:cstheme="majorBidi"/>
              </w:rPr>
              <w:t>Is the proposal able to utilize at least one</w:t>
            </w:r>
            <w:r w:rsidRPr="00C17879">
              <w:rPr>
                <w:rFonts w:asciiTheme="majorBidi" w:hAnsiTheme="majorBidi" w:cstheme="majorBidi"/>
              </w:rPr>
              <w:t xml:space="preserve"> frequency</w:t>
            </w:r>
            <w:r w:rsidRPr="00C17879">
              <w:rPr>
                <w:rFonts w:asciiTheme="majorBidi" w:eastAsia="SimSun" w:hAnsiTheme="majorBidi" w:cstheme="majorBidi"/>
              </w:rPr>
              <w:t xml:space="preserve"> band identified for IMT</w:t>
            </w:r>
            <w:r w:rsidRPr="00C17879">
              <w:rPr>
                <w:rFonts w:asciiTheme="majorBidi" w:hAnsiTheme="majorBidi" w:cstheme="majorBidi"/>
              </w:rPr>
              <w:t xml:space="preserve"> in the ITU Radio Regulations</w:t>
            </w:r>
            <w:r w:rsidRPr="00C17879">
              <w:rPr>
                <w:rFonts w:asciiTheme="majorBidi" w:eastAsia="SimSun" w:hAnsiTheme="majorBidi" w:cstheme="majorBidi"/>
              </w:rPr>
              <w:t xml:space="preserve">?: </w:t>
            </w:r>
          </w:p>
          <w:p w:rsidR="00E71F3E" w:rsidRPr="00C17879" w:rsidRDefault="00E71F3E" w:rsidP="00813C91">
            <w:pPr>
              <w:pStyle w:val="Tabletext"/>
              <w:rPr>
                <w:rFonts w:asciiTheme="majorBidi" w:eastAsia="SimSun" w:hAnsiTheme="majorBidi" w:cstheme="majorBidi"/>
              </w:rPr>
            </w:pPr>
            <w:r w:rsidRPr="00C17879">
              <w:rPr>
                <w:rFonts w:asciiTheme="majorBidi" w:eastAsia="SimSun" w:hAnsiTheme="majorBidi" w:cstheme="majorBidi"/>
              </w:rPr>
              <w:tab/>
            </w:r>
            <w:r w:rsidRPr="00C17879">
              <w:rPr>
                <w:rFonts w:asciiTheme="majorBidi" w:eastAsia="SimSun" w:hAnsiTheme="majorBidi" w:cstheme="majorBidi"/>
              </w:rPr>
              <w:sym w:font="Times New Roman" w:char="F072"/>
            </w:r>
            <w:r w:rsidRPr="00C17879">
              <w:rPr>
                <w:rFonts w:asciiTheme="majorBidi" w:eastAsia="SimSun" w:hAnsiTheme="majorBidi" w:cstheme="majorBidi"/>
              </w:rPr>
              <w:t xml:space="preserve"> </w:t>
            </w:r>
            <w:r w:rsidRPr="00C17879">
              <w:rPr>
                <w:rFonts w:asciiTheme="majorBidi" w:eastAsia="SimSun" w:hAnsiTheme="majorBidi" w:cstheme="majorBidi"/>
                <w:b/>
                <w:bCs/>
                <w:i/>
                <w:color w:val="000000" w:themeColor="text1"/>
              </w:rPr>
              <w:t>YES</w:t>
            </w:r>
            <w:r w:rsidRPr="00C17879">
              <w:rPr>
                <w:rFonts w:asciiTheme="majorBidi" w:eastAsia="SimSun" w:hAnsiTheme="majorBidi" w:cstheme="majorBidi"/>
                <w:color w:val="000000" w:themeColor="text1"/>
              </w:rPr>
              <w:t xml:space="preserve"> </w:t>
            </w:r>
          </w:p>
          <w:p w:rsidR="00E71F3E" w:rsidRPr="00C17879" w:rsidRDefault="00E71F3E" w:rsidP="00813C91">
            <w:pPr>
              <w:pStyle w:val="Tabletext"/>
              <w:rPr>
                <w:rFonts w:asciiTheme="majorBidi" w:hAnsiTheme="majorBidi" w:cstheme="majorBidi"/>
                <w:lang w:eastAsia="zh-CN"/>
              </w:rPr>
            </w:pPr>
            <w:r w:rsidRPr="00C17879">
              <w:rPr>
                <w:rFonts w:asciiTheme="majorBidi" w:eastAsia="SimSun" w:hAnsiTheme="majorBidi" w:cstheme="majorBidi"/>
              </w:rPr>
              <w:t>Specify in which band(s) the candidate RIT or candidate SRIT can be deployed.</w:t>
            </w:r>
          </w:p>
          <w:p w:rsidR="00E71F3E" w:rsidRPr="00C17879" w:rsidRDefault="00E71F3E" w:rsidP="006E7804">
            <w:pPr>
              <w:pStyle w:val="Tabletext"/>
              <w:rPr>
                <w:rFonts w:asciiTheme="majorBidi" w:hAnsiTheme="majorBidi" w:cstheme="majorBidi"/>
                <w:i/>
                <w:color w:val="0000FF"/>
                <w:lang w:eastAsia="zh-CN"/>
              </w:rPr>
            </w:pPr>
            <w:r w:rsidRPr="00C17879">
              <w:rPr>
                <w:rFonts w:asciiTheme="majorBidi" w:hAnsiTheme="majorBidi" w:cstheme="majorBidi"/>
                <w:i/>
                <w:color w:val="0000FF"/>
                <w:lang w:eastAsia="zh-CN"/>
              </w:rPr>
              <w:t xml:space="preserve">The supported frequency bands identified for IMT are provided in item </w:t>
            </w:r>
            <w:r w:rsidRPr="00C17879">
              <w:rPr>
                <w:rFonts w:asciiTheme="majorBidi" w:hAnsiTheme="majorBidi" w:cstheme="majorBidi"/>
                <w:i/>
                <w:color w:val="0000FF"/>
              </w:rPr>
              <w:t>5.2.3.2.8.3</w:t>
            </w:r>
            <w:r w:rsidRPr="00C17879">
              <w:rPr>
                <w:rFonts w:asciiTheme="majorBidi" w:hAnsiTheme="majorBidi" w:cstheme="majorBidi"/>
                <w:i/>
                <w:color w:val="0000FF"/>
                <w:lang w:eastAsia="zh-CN"/>
              </w:rPr>
              <w:t xml:space="preserve"> in characteristics template. See the table for frequency range 1 (FR1).</w:t>
            </w:r>
          </w:p>
          <w:p w:rsidR="00E71F3E" w:rsidRPr="00C17879" w:rsidRDefault="00E71F3E" w:rsidP="00813C91">
            <w:pPr>
              <w:pStyle w:val="Tabletext"/>
              <w:rPr>
                <w:rFonts w:asciiTheme="majorBidi" w:eastAsiaTheme="minorEastAsia" w:hAnsiTheme="majorBidi" w:cstheme="majorBidi"/>
                <w:lang w:eastAsia="zh-CN"/>
              </w:rPr>
            </w:pPr>
            <w:r w:rsidRPr="00C17879">
              <w:rPr>
                <w:rFonts w:asciiTheme="majorBidi" w:eastAsia="Malgun Gothic" w:hAnsiTheme="majorBidi" w:cstheme="majorBidi"/>
              </w:rPr>
              <w:t>What are the frequency bands supported by the RIT/SRIT? Please list.</w:t>
            </w:r>
          </w:p>
          <w:p w:rsidR="00E71F3E" w:rsidRPr="00C17879" w:rsidRDefault="00E71F3E" w:rsidP="00813C91">
            <w:pPr>
              <w:pStyle w:val="Tabletext"/>
              <w:rPr>
                <w:rFonts w:asciiTheme="majorBidi" w:eastAsiaTheme="minorEastAsia" w:hAnsiTheme="majorBidi" w:cstheme="majorBidi"/>
                <w:i/>
                <w:color w:val="0000FF"/>
                <w:lang w:eastAsia="zh-CN"/>
              </w:rPr>
            </w:pPr>
            <w:r w:rsidRPr="00C17879">
              <w:rPr>
                <w:rFonts w:asciiTheme="majorBidi" w:eastAsiaTheme="minorEastAsia" w:hAnsiTheme="majorBidi" w:cstheme="majorBidi"/>
                <w:i/>
                <w:color w:val="0000FF"/>
                <w:lang w:eastAsia="zh-CN"/>
              </w:rPr>
              <w:t>The following frequency bands will be supported, in accordance with spectrum requirements defined by Report ITU-R M.2411-0. Introduction of other ITU-R IMT identified bands are not precluded in the future. 3GPP technologies are also defined as appropriate to operate in other frequency arrangements and bands.</w:t>
            </w:r>
          </w:p>
          <w:p w:rsidR="00E71F3E" w:rsidRPr="00C17879" w:rsidRDefault="00E71F3E" w:rsidP="00813C91">
            <w:pPr>
              <w:pStyle w:val="Tabletext"/>
              <w:rPr>
                <w:rFonts w:asciiTheme="majorBidi" w:eastAsiaTheme="minorEastAsia" w:hAnsiTheme="majorBidi" w:cstheme="majorBidi"/>
                <w:lang w:val="en-US" w:eastAsia="zh-CN"/>
              </w:rPr>
            </w:pPr>
          </w:p>
          <w:p w:rsidR="00E71F3E" w:rsidRPr="00C17879" w:rsidRDefault="00E71F3E" w:rsidP="00E71F3E">
            <w:pPr>
              <w:pStyle w:val="Tabletext"/>
              <w:rPr>
                <w:rFonts w:asciiTheme="majorBidi" w:eastAsiaTheme="minorEastAsia" w:hAnsiTheme="majorBidi" w:cstheme="majorBidi"/>
                <w:i/>
                <w:color w:val="0000FF"/>
                <w:u w:val="single"/>
                <w:lang w:eastAsia="zh-CN"/>
              </w:rPr>
            </w:pPr>
            <w:r w:rsidRPr="00C17879">
              <w:rPr>
                <w:rFonts w:asciiTheme="majorBidi" w:eastAsiaTheme="minorEastAsia" w:hAnsiTheme="majorBidi" w:cstheme="majorBidi"/>
                <w:i/>
                <w:color w:val="0000FF"/>
                <w:u w:val="single"/>
                <w:lang w:eastAsia="zh-CN"/>
              </w:rPr>
              <w:t>450-6000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2607"/>
              <w:gridCol w:w="2806"/>
              <w:gridCol w:w="1286"/>
            </w:tblGrid>
            <w:tr w:rsidR="00E71F3E" w:rsidRPr="00C17879" w:rsidTr="00E71F3E">
              <w:trPr>
                <w:trHeight w:val="704"/>
                <w:jc w:val="center"/>
              </w:trPr>
              <w:tc>
                <w:tcPr>
                  <w:tcW w:w="1037" w:type="dxa"/>
                  <w:shd w:val="clear" w:color="auto" w:fill="auto"/>
                  <w:vAlign w:val="center"/>
                </w:tcPr>
                <w:p w:rsidR="00E71F3E" w:rsidRPr="00C17879" w:rsidRDefault="00E71F3E" w:rsidP="00E71F3E">
                  <w:pPr>
                    <w:pStyle w:val="TAH"/>
                    <w:rPr>
                      <w:rFonts w:asciiTheme="majorBidi" w:hAnsiTheme="majorBidi" w:cstheme="majorBidi"/>
                      <w:color w:val="0000FF"/>
                      <w:szCs w:val="18"/>
                    </w:rPr>
                  </w:pPr>
                  <w:r w:rsidRPr="00C17879">
                    <w:rPr>
                      <w:rFonts w:asciiTheme="majorBidi" w:hAnsiTheme="majorBidi" w:cstheme="majorBidi"/>
                      <w:color w:val="0000FF"/>
                      <w:szCs w:val="18"/>
                    </w:rPr>
                    <w:t xml:space="preserve">NR </w:t>
                  </w:r>
                  <w:r w:rsidRPr="00C17879">
                    <w:rPr>
                      <w:rFonts w:asciiTheme="majorBidi" w:hAnsiTheme="majorBidi" w:cstheme="majorBidi"/>
                      <w:i/>
                      <w:color w:val="0000FF"/>
                      <w:szCs w:val="18"/>
                    </w:rPr>
                    <w:t>operating band</w:t>
                  </w:r>
                </w:p>
              </w:tc>
              <w:tc>
                <w:tcPr>
                  <w:tcW w:w="2607" w:type="dxa"/>
                  <w:shd w:val="clear" w:color="auto" w:fill="auto"/>
                  <w:vAlign w:val="center"/>
                </w:tcPr>
                <w:p w:rsidR="00E71F3E" w:rsidRPr="00C17879" w:rsidRDefault="00E71F3E" w:rsidP="00E71F3E">
                  <w:pPr>
                    <w:pStyle w:val="TAH"/>
                    <w:rPr>
                      <w:rFonts w:asciiTheme="majorBidi" w:hAnsiTheme="majorBidi" w:cstheme="majorBidi"/>
                      <w:color w:val="0000FF"/>
                      <w:szCs w:val="18"/>
                    </w:rPr>
                  </w:pPr>
                  <w:r w:rsidRPr="00C17879">
                    <w:rPr>
                      <w:rFonts w:asciiTheme="majorBidi" w:hAnsiTheme="majorBidi" w:cstheme="majorBidi"/>
                      <w:color w:val="0000FF"/>
                      <w:szCs w:val="18"/>
                    </w:rPr>
                    <w:t xml:space="preserve">Uplink (UL) </w:t>
                  </w:r>
                  <w:r w:rsidRPr="00C17879">
                    <w:rPr>
                      <w:rFonts w:asciiTheme="majorBidi" w:hAnsiTheme="majorBidi" w:cstheme="majorBidi"/>
                      <w:i/>
                      <w:color w:val="0000FF"/>
                      <w:szCs w:val="18"/>
                    </w:rPr>
                    <w:t>operating band</w:t>
                  </w:r>
                  <w:r w:rsidRPr="00C17879">
                    <w:rPr>
                      <w:rFonts w:asciiTheme="majorBidi" w:hAnsiTheme="majorBidi" w:cstheme="majorBidi"/>
                      <w:color w:val="0000FF"/>
                      <w:szCs w:val="18"/>
                    </w:rPr>
                    <w:br/>
                    <w:t>BS receive / UE transmit</w:t>
                  </w:r>
                </w:p>
                <w:p w:rsidR="00E71F3E" w:rsidRPr="00C17879" w:rsidRDefault="00E71F3E" w:rsidP="00E71F3E">
                  <w:pPr>
                    <w:pStyle w:val="TAH"/>
                    <w:rPr>
                      <w:rFonts w:asciiTheme="majorBidi" w:hAnsiTheme="majorBidi" w:cstheme="majorBidi"/>
                      <w:color w:val="0000FF"/>
                      <w:szCs w:val="18"/>
                    </w:rPr>
                  </w:pPr>
                  <w:r w:rsidRPr="00C17879">
                    <w:rPr>
                      <w:rFonts w:asciiTheme="majorBidi" w:hAnsiTheme="majorBidi" w:cstheme="majorBidi"/>
                      <w:color w:val="0000FF"/>
                      <w:szCs w:val="18"/>
                    </w:rPr>
                    <w:t>F</w:t>
                  </w:r>
                  <w:r w:rsidRPr="00C17879">
                    <w:rPr>
                      <w:rFonts w:asciiTheme="majorBidi" w:hAnsiTheme="majorBidi" w:cstheme="majorBidi"/>
                      <w:color w:val="0000FF"/>
                      <w:szCs w:val="18"/>
                      <w:vertAlign w:val="subscript"/>
                    </w:rPr>
                    <w:t>UL_low</w:t>
                  </w:r>
                  <w:r w:rsidRPr="00C17879">
                    <w:rPr>
                      <w:rFonts w:asciiTheme="majorBidi" w:hAnsiTheme="majorBidi" w:cstheme="majorBidi"/>
                      <w:color w:val="0000FF"/>
                      <w:szCs w:val="18"/>
                    </w:rPr>
                    <w:t xml:space="preserve">   –  F</w:t>
                  </w:r>
                  <w:r w:rsidRPr="00C17879">
                    <w:rPr>
                      <w:rFonts w:asciiTheme="majorBidi" w:hAnsiTheme="majorBidi" w:cstheme="majorBidi"/>
                      <w:color w:val="0000FF"/>
                      <w:szCs w:val="18"/>
                      <w:vertAlign w:val="subscript"/>
                    </w:rPr>
                    <w:t>UL_high</w:t>
                  </w:r>
                </w:p>
              </w:tc>
              <w:tc>
                <w:tcPr>
                  <w:tcW w:w="2806" w:type="dxa"/>
                  <w:shd w:val="clear" w:color="auto" w:fill="auto"/>
                  <w:vAlign w:val="center"/>
                </w:tcPr>
                <w:p w:rsidR="00E71F3E" w:rsidRPr="00C17879" w:rsidRDefault="00E71F3E" w:rsidP="00E71F3E">
                  <w:pPr>
                    <w:pStyle w:val="TAH"/>
                    <w:rPr>
                      <w:rFonts w:asciiTheme="majorBidi" w:hAnsiTheme="majorBidi" w:cstheme="majorBidi"/>
                      <w:color w:val="0000FF"/>
                      <w:szCs w:val="18"/>
                    </w:rPr>
                  </w:pPr>
                  <w:r w:rsidRPr="00C17879">
                    <w:rPr>
                      <w:rFonts w:asciiTheme="majorBidi" w:hAnsiTheme="majorBidi" w:cstheme="majorBidi"/>
                      <w:color w:val="0000FF"/>
                      <w:szCs w:val="18"/>
                    </w:rPr>
                    <w:t xml:space="preserve">Downlink (DL) </w:t>
                  </w:r>
                  <w:r w:rsidRPr="00C17879">
                    <w:rPr>
                      <w:rFonts w:asciiTheme="majorBidi" w:hAnsiTheme="majorBidi" w:cstheme="majorBidi"/>
                      <w:i/>
                      <w:color w:val="0000FF"/>
                      <w:szCs w:val="18"/>
                    </w:rPr>
                    <w:t>operating band</w:t>
                  </w:r>
                  <w:r w:rsidRPr="00C17879">
                    <w:rPr>
                      <w:rFonts w:asciiTheme="majorBidi" w:hAnsiTheme="majorBidi" w:cstheme="majorBidi"/>
                      <w:color w:val="0000FF"/>
                      <w:szCs w:val="18"/>
                    </w:rPr>
                    <w:br/>
                    <w:t>BS transmit / UE receive</w:t>
                  </w:r>
                </w:p>
                <w:p w:rsidR="00E71F3E" w:rsidRPr="00C17879" w:rsidRDefault="00E71F3E" w:rsidP="00E71F3E">
                  <w:pPr>
                    <w:pStyle w:val="TAH"/>
                    <w:rPr>
                      <w:rFonts w:asciiTheme="majorBidi" w:hAnsiTheme="majorBidi" w:cstheme="majorBidi"/>
                      <w:color w:val="0000FF"/>
                      <w:szCs w:val="18"/>
                    </w:rPr>
                  </w:pPr>
                  <w:r w:rsidRPr="00C17879">
                    <w:rPr>
                      <w:rFonts w:asciiTheme="majorBidi" w:hAnsiTheme="majorBidi" w:cstheme="majorBidi"/>
                      <w:color w:val="0000FF"/>
                      <w:szCs w:val="18"/>
                    </w:rPr>
                    <w:t>F</w:t>
                  </w:r>
                  <w:r w:rsidRPr="00C17879">
                    <w:rPr>
                      <w:rFonts w:asciiTheme="majorBidi" w:hAnsiTheme="majorBidi" w:cstheme="majorBidi"/>
                      <w:color w:val="0000FF"/>
                      <w:szCs w:val="18"/>
                      <w:vertAlign w:val="subscript"/>
                    </w:rPr>
                    <w:t>DL_low</w:t>
                  </w:r>
                  <w:r w:rsidRPr="00C17879">
                    <w:rPr>
                      <w:rFonts w:asciiTheme="majorBidi" w:hAnsiTheme="majorBidi" w:cstheme="majorBidi"/>
                      <w:color w:val="0000FF"/>
                      <w:szCs w:val="18"/>
                    </w:rPr>
                    <w:t xml:space="preserve">   –  F</w:t>
                  </w:r>
                  <w:r w:rsidRPr="00C17879">
                    <w:rPr>
                      <w:rFonts w:asciiTheme="majorBidi" w:hAnsiTheme="majorBidi" w:cstheme="majorBidi"/>
                      <w:color w:val="0000FF"/>
                      <w:szCs w:val="18"/>
                      <w:vertAlign w:val="subscript"/>
                    </w:rPr>
                    <w:t>DL_high</w:t>
                  </w:r>
                </w:p>
              </w:tc>
              <w:tc>
                <w:tcPr>
                  <w:tcW w:w="1286" w:type="dxa"/>
                  <w:shd w:val="clear" w:color="auto" w:fill="auto"/>
                  <w:vAlign w:val="center"/>
                </w:tcPr>
                <w:p w:rsidR="00E71F3E" w:rsidRPr="00C17879" w:rsidRDefault="00E71F3E" w:rsidP="00E71F3E">
                  <w:pPr>
                    <w:pStyle w:val="TAH"/>
                    <w:rPr>
                      <w:rFonts w:asciiTheme="majorBidi" w:hAnsiTheme="majorBidi" w:cstheme="majorBidi"/>
                      <w:color w:val="0000FF"/>
                      <w:szCs w:val="18"/>
                    </w:rPr>
                  </w:pPr>
                  <w:r w:rsidRPr="00C17879">
                    <w:rPr>
                      <w:rFonts w:asciiTheme="majorBidi" w:hAnsiTheme="majorBidi" w:cstheme="majorBidi"/>
                      <w:color w:val="0000FF"/>
                      <w:szCs w:val="18"/>
                    </w:rPr>
                    <w:t>Duplex Mode</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n1</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1920 MHz – 1980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2110 MHz – 2170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n2</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1850 MHz – 1910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1930 MHz – 1990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n3</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1710 MHz – 1785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1805 MHz – 1880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n5</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824 MHz – 849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869 MHz – 894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2500 MHz – 2570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2620 MHz – 2690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n8</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880 MHz – 915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925 MHz – 960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n12</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699 MHz – 716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729 MHz – 746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n20</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832 MHz – 862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791 MHz – 821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n25</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1850 MHz – 1915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1930 MHz – 1995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n28</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703 MHz – 748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758 MHz – 803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eastAsia="SimSun" w:hAnsiTheme="majorBidi" w:cstheme="majorBidi"/>
                      <w:color w:val="0000FF"/>
                      <w:szCs w:val="18"/>
                      <w:lang w:val="en-US" w:eastAsia="zh-CN"/>
                    </w:rPr>
                    <w:t>n34</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eastAsia="SimSun" w:hAnsiTheme="majorBidi" w:cstheme="majorBidi"/>
                      <w:color w:val="0000FF"/>
                      <w:szCs w:val="18"/>
                      <w:lang w:val="en-US" w:eastAsia="zh-CN"/>
                    </w:rPr>
                    <w:t>2010</w:t>
                  </w:r>
                  <w:r w:rsidRPr="00C17879">
                    <w:rPr>
                      <w:rFonts w:asciiTheme="majorBidi" w:hAnsiTheme="majorBidi" w:cstheme="majorBidi"/>
                      <w:color w:val="0000FF"/>
                      <w:szCs w:val="18"/>
                    </w:rPr>
                    <w:t xml:space="preserve"> MHz – </w:t>
                  </w:r>
                  <w:r w:rsidRPr="00C17879">
                    <w:rPr>
                      <w:rFonts w:asciiTheme="majorBidi" w:eastAsia="SimSun" w:hAnsiTheme="majorBidi" w:cstheme="majorBidi"/>
                      <w:color w:val="0000FF"/>
                      <w:szCs w:val="18"/>
                      <w:lang w:val="en-US" w:eastAsia="zh-CN"/>
                    </w:rPr>
                    <w:t>2025</w:t>
                  </w:r>
                  <w:r w:rsidRPr="00C17879">
                    <w:rPr>
                      <w:rFonts w:asciiTheme="majorBidi" w:hAnsiTheme="majorBidi" w:cstheme="majorBidi"/>
                      <w:color w:val="0000FF"/>
                      <w:szCs w:val="18"/>
                    </w:rPr>
                    <w:t xml:space="preserve">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eastAsia="SimSun" w:hAnsiTheme="majorBidi" w:cstheme="majorBidi"/>
                      <w:color w:val="0000FF"/>
                      <w:szCs w:val="18"/>
                      <w:lang w:val="en-US" w:eastAsia="zh-CN"/>
                    </w:rPr>
                    <w:t>2010</w:t>
                  </w:r>
                  <w:r w:rsidRPr="00C17879">
                    <w:rPr>
                      <w:rFonts w:asciiTheme="majorBidi" w:hAnsiTheme="majorBidi" w:cstheme="majorBidi"/>
                      <w:color w:val="0000FF"/>
                      <w:szCs w:val="18"/>
                    </w:rPr>
                    <w:t xml:space="preserve"> MHz – </w:t>
                  </w:r>
                  <w:r w:rsidRPr="00C17879">
                    <w:rPr>
                      <w:rFonts w:asciiTheme="majorBidi" w:eastAsia="SimSun" w:hAnsiTheme="majorBidi" w:cstheme="majorBidi"/>
                      <w:color w:val="0000FF"/>
                      <w:szCs w:val="18"/>
                      <w:lang w:val="en-US" w:eastAsia="zh-CN"/>
                    </w:rPr>
                    <w:t>2025</w:t>
                  </w:r>
                  <w:r w:rsidRPr="00C17879">
                    <w:rPr>
                      <w:rFonts w:asciiTheme="majorBidi" w:hAnsiTheme="majorBidi" w:cstheme="majorBidi"/>
                      <w:color w:val="0000FF"/>
                      <w:szCs w:val="18"/>
                    </w:rPr>
                    <w:t xml:space="preserve">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eastAsia="SimSun" w:hAnsiTheme="majorBidi" w:cstheme="majorBidi"/>
                      <w:color w:val="0000FF"/>
                      <w:szCs w:val="18"/>
                      <w:lang w:val="en-US" w:eastAsia="zh-CN"/>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n38</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2570 MHz – 2620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2570 MHz – 2620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eastAsia="SimSun" w:hAnsiTheme="majorBidi" w:cstheme="majorBidi"/>
                      <w:color w:val="0000FF"/>
                      <w:szCs w:val="18"/>
                      <w:lang w:val="en-US" w:eastAsia="zh-CN"/>
                    </w:rPr>
                    <w:t>n39</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eastAsia="SimSun" w:hAnsiTheme="majorBidi" w:cstheme="majorBidi"/>
                      <w:color w:val="0000FF"/>
                      <w:szCs w:val="18"/>
                      <w:lang w:val="en-US" w:eastAsia="zh-CN"/>
                    </w:rPr>
                    <w:t>1880</w:t>
                  </w:r>
                  <w:r w:rsidRPr="00C17879">
                    <w:rPr>
                      <w:rFonts w:asciiTheme="majorBidi" w:hAnsiTheme="majorBidi" w:cstheme="majorBidi"/>
                      <w:color w:val="0000FF"/>
                      <w:szCs w:val="18"/>
                    </w:rPr>
                    <w:t xml:space="preserve"> MHz – </w:t>
                  </w:r>
                  <w:r w:rsidRPr="00C17879">
                    <w:rPr>
                      <w:rFonts w:asciiTheme="majorBidi" w:eastAsia="SimSun" w:hAnsiTheme="majorBidi" w:cstheme="majorBidi"/>
                      <w:color w:val="0000FF"/>
                      <w:szCs w:val="18"/>
                      <w:lang w:val="en-US" w:eastAsia="zh-CN"/>
                    </w:rPr>
                    <w:t>1920</w:t>
                  </w:r>
                  <w:r w:rsidRPr="00C17879">
                    <w:rPr>
                      <w:rFonts w:asciiTheme="majorBidi" w:hAnsiTheme="majorBidi" w:cstheme="majorBidi"/>
                      <w:color w:val="0000FF"/>
                      <w:szCs w:val="18"/>
                    </w:rPr>
                    <w:t xml:space="preserve">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eastAsia="SimSun" w:hAnsiTheme="majorBidi" w:cstheme="majorBidi"/>
                      <w:color w:val="0000FF"/>
                      <w:szCs w:val="18"/>
                      <w:lang w:val="en-US" w:eastAsia="zh-CN"/>
                    </w:rPr>
                    <w:t>1880</w:t>
                  </w:r>
                  <w:r w:rsidRPr="00C17879">
                    <w:rPr>
                      <w:rFonts w:asciiTheme="majorBidi" w:hAnsiTheme="majorBidi" w:cstheme="majorBidi"/>
                      <w:color w:val="0000FF"/>
                      <w:szCs w:val="18"/>
                    </w:rPr>
                    <w:t xml:space="preserve"> MHz – </w:t>
                  </w:r>
                  <w:r w:rsidRPr="00C17879">
                    <w:rPr>
                      <w:rFonts w:asciiTheme="majorBidi" w:eastAsia="SimSun" w:hAnsiTheme="majorBidi" w:cstheme="majorBidi"/>
                      <w:color w:val="0000FF"/>
                      <w:szCs w:val="18"/>
                      <w:lang w:val="en-US" w:eastAsia="zh-CN"/>
                    </w:rPr>
                    <w:t>19</w:t>
                  </w:r>
                  <w:r w:rsidRPr="00C17879">
                    <w:rPr>
                      <w:rFonts w:asciiTheme="majorBidi" w:hAnsiTheme="majorBidi" w:cstheme="majorBidi"/>
                      <w:color w:val="0000FF"/>
                      <w:szCs w:val="18"/>
                    </w:rPr>
                    <w:t>20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eastAsia="SimSun" w:hAnsiTheme="majorBidi" w:cstheme="majorBidi"/>
                      <w:color w:val="0000FF"/>
                      <w:szCs w:val="18"/>
                      <w:lang w:val="en-US" w:eastAsia="zh-CN"/>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lang w:val="en-US"/>
                    </w:rPr>
                    <w:t>n40</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lang w:val="en-US"/>
                    </w:rPr>
                    <w:t>2300 MHz – 2400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lang w:val="en-US"/>
                    </w:rPr>
                    <w:t>2300 MHz – 2400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lang w:val="en-US"/>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n41</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2496 MHz – 2690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2496 MHz – 2690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n50</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1432 MHz – 1517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1432 MHz – 1517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n51</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1427 MHz – 1432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1427 MHz – 1432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n66</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1710 MHz – 1780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2110 MHz – 2200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n70</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1695 MHz – 1710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1995 MHz – 2020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n71</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663 MHz – 698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617 MHz – 652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n74</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1427 MHz – 1470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1475 MHz – 1518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FDD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n75</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N/A</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1432 MHz – 1517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SDL</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n76</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N/A</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1427 MHz – 1432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SDL</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n77</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3300 MHz – 4200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3300 MHz – 4200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n78</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3300 MHz – 3800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3300 MHz – 3800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n79</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4400 MHz – 5000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4400 MHz – 5000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n80</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1710 MHz – 1785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N/A</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 xml:space="preserve">SUL </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n81</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880 MHz – 915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N/A</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 xml:space="preserve">SUL </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n82</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832 MHz – 862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N/A</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 xml:space="preserve">SUL </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n83</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703 MHz – 748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N/A</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SUL</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n84</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1920 MHz – 1980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N/A</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SUL</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n86</w:t>
                  </w:r>
                </w:p>
              </w:tc>
              <w:tc>
                <w:tcPr>
                  <w:tcW w:w="260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1710 MHz – 1780 MHz</w:t>
                  </w:r>
                </w:p>
              </w:tc>
              <w:tc>
                <w:tcPr>
                  <w:tcW w:w="28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N/A</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SUL</w:t>
                  </w:r>
                </w:p>
              </w:tc>
            </w:tr>
          </w:tbl>
          <w:p w:rsidR="00E71F3E" w:rsidRPr="00C17879" w:rsidRDefault="00E71F3E" w:rsidP="00813C91">
            <w:pPr>
              <w:pStyle w:val="Tabletext"/>
              <w:rPr>
                <w:rFonts w:asciiTheme="majorBidi" w:hAnsiTheme="majorBidi" w:cstheme="majorBidi"/>
                <w:i/>
                <w:color w:val="0000FF"/>
                <w:lang w:eastAsia="zh-CN"/>
              </w:rPr>
            </w:pPr>
          </w:p>
        </w:tc>
      </w:tr>
      <w:tr w:rsidR="00E71F3E" w:rsidRPr="00C17879" w:rsidTr="00C17879">
        <w:trPr>
          <w:jc w:val="center"/>
        </w:trPr>
        <w:tc>
          <w:tcPr>
            <w:tcW w:w="1278" w:type="dxa"/>
            <w:tcBorders>
              <w:top w:val="single" w:sz="4" w:space="0" w:color="auto"/>
              <w:left w:val="single" w:sz="4" w:space="0" w:color="auto"/>
              <w:bottom w:val="single" w:sz="4" w:space="0" w:color="auto"/>
              <w:right w:val="single" w:sz="4" w:space="0" w:color="auto"/>
            </w:tcBorders>
            <w:hideMark/>
          </w:tcPr>
          <w:p w:rsidR="00E71F3E" w:rsidRPr="00C17879" w:rsidRDefault="00E71F3E" w:rsidP="00C17879">
            <w:pPr>
              <w:pStyle w:val="Tabletext"/>
              <w:jc w:val="center"/>
              <w:rPr>
                <w:rFonts w:asciiTheme="majorBidi" w:eastAsia="SimSun" w:hAnsiTheme="majorBidi" w:cstheme="majorBidi"/>
                <w:b/>
                <w:highlight w:val="yellow"/>
              </w:rPr>
            </w:pPr>
            <w:r w:rsidRPr="00C17879">
              <w:rPr>
                <w:rFonts w:asciiTheme="majorBidi" w:eastAsia="Malgun Gothic" w:hAnsiTheme="majorBidi" w:cstheme="majorBidi"/>
                <w:b/>
              </w:rPr>
              <w:t>5</w:t>
            </w:r>
            <w:r w:rsidRPr="00C17879">
              <w:rPr>
                <w:rFonts w:asciiTheme="majorBidi" w:eastAsia="SimSun" w:hAnsiTheme="majorBidi" w:cstheme="majorBidi"/>
                <w:b/>
              </w:rPr>
              <w:t>.2.4.2.2</w:t>
            </w:r>
          </w:p>
        </w:tc>
        <w:tc>
          <w:tcPr>
            <w:tcW w:w="8503" w:type="dxa"/>
            <w:tcBorders>
              <w:top w:val="single" w:sz="4" w:space="0" w:color="auto"/>
              <w:left w:val="single" w:sz="4" w:space="0" w:color="auto"/>
              <w:bottom w:val="single" w:sz="4" w:space="0" w:color="auto"/>
              <w:right w:val="single" w:sz="4" w:space="0" w:color="auto"/>
            </w:tcBorders>
            <w:hideMark/>
          </w:tcPr>
          <w:p w:rsidR="00E71F3E" w:rsidRPr="00C17879" w:rsidRDefault="00E71F3E" w:rsidP="00813C91">
            <w:pPr>
              <w:pStyle w:val="Tabletext"/>
              <w:rPr>
                <w:rFonts w:asciiTheme="majorBidi" w:eastAsia="Malgun Gothic" w:hAnsiTheme="majorBidi" w:cstheme="majorBidi"/>
                <w:b/>
              </w:rPr>
            </w:pPr>
            <w:r w:rsidRPr="00C17879">
              <w:rPr>
                <w:rFonts w:asciiTheme="majorBidi" w:eastAsia="SimSun" w:hAnsiTheme="majorBidi" w:cstheme="majorBidi"/>
                <w:b/>
              </w:rPr>
              <w:t>Higher Frequency range/band(s)</w:t>
            </w:r>
          </w:p>
          <w:p w:rsidR="00C17879" w:rsidRDefault="00E71F3E" w:rsidP="00813C91">
            <w:pPr>
              <w:pStyle w:val="Tabletext"/>
              <w:rPr>
                <w:rFonts w:asciiTheme="majorBidi" w:eastAsia="SimSun" w:hAnsiTheme="majorBidi" w:cstheme="majorBidi"/>
              </w:rPr>
            </w:pPr>
            <w:r w:rsidRPr="00C17879">
              <w:rPr>
                <w:rFonts w:asciiTheme="majorBidi" w:eastAsia="SimSun" w:hAnsiTheme="majorBidi" w:cstheme="majorBidi"/>
              </w:rPr>
              <w:t>Is the proposal able to utilize</w:t>
            </w:r>
            <w:r w:rsidRPr="00C17879">
              <w:rPr>
                <w:rFonts w:asciiTheme="majorBidi" w:eastAsia="Malgun Gothic" w:hAnsiTheme="majorBidi" w:cstheme="majorBidi"/>
              </w:rPr>
              <w:t xml:space="preserve"> the higher frequency range/band(s) </w:t>
            </w:r>
            <w:r w:rsidRPr="00C17879">
              <w:rPr>
                <w:rFonts w:asciiTheme="majorBidi" w:hAnsiTheme="majorBidi" w:cstheme="majorBidi"/>
              </w:rPr>
              <w:t xml:space="preserve">above </w:t>
            </w:r>
            <w:r w:rsidRPr="00C17879">
              <w:rPr>
                <w:rFonts w:asciiTheme="majorBidi" w:eastAsia="Malgun Gothic" w:hAnsiTheme="majorBidi" w:cstheme="majorBidi"/>
              </w:rPr>
              <w:t>24.25 GHz</w:t>
            </w:r>
            <w:r w:rsidRPr="00C17879">
              <w:rPr>
                <w:rFonts w:asciiTheme="majorBidi" w:eastAsia="SimSun" w:hAnsiTheme="majorBidi" w:cstheme="majorBidi"/>
              </w:rPr>
              <w:t>?:</w:t>
            </w:r>
          </w:p>
          <w:p w:rsidR="00E71F3E" w:rsidRPr="00C17879" w:rsidRDefault="00E71F3E" w:rsidP="00813C91">
            <w:pPr>
              <w:pStyle w:val="Tabletext"/>
              <w:rPr>
                <w:rFonts w:asciiTheme="majorBidi" w:eastAsia="SimSun" w:hAnsiTheme="majorBidi" w:cstheme="majorBidi"/>
              </w:rPr>
            </w:pPr>
            <w:r w:rsidRPr="00C17879">
              <w:rPr>
                <w:rFonts w:asciiTheme="majorBidi" w:eastAsia="SimSun" w:hAnsiTheme="majorBidi" w:cstheme="majorBidi"/>
              </w:rPr>
              <w:tab/>
            </w:r>
            <w:r w:rsidRPr="00C17879">
              <w:rPr>
                <w:rFonts w:asciiTheme="majorBidi" w:eastAsia="SimSun" w:hAnsiTheme="majorBidi" w:cstheme="majorBidi"/>
              </w:rPr>
              <w:sym w:font="Times New Roman" w:char="F072"/>
            </w:r>
            <w:r w:rsidRPr="00C17879">
              <w:rPr>
                <w:rFonts w:asciiTheme="majorBidi" w:eastAsia="SimSun" w:hAnsiTheme="majorBidi" w:cstheme="majorBidi"/>
                <w:b/>
                <w:bCs/>
                <w:i/>
                <w:color w:val="000000" w:themeColor="text1"/>
              </w:rPr>
              <w:t>YES</w:t>
            </w:r>
            <w:r w:rsidRPr="00C17879">
              <w:rPr>
                <w:rFonts w:asciiTheme="majorBidi" w:eastAsia="SimSun" w:hAnsiTheme="majorBidi" w:cstheme="majorBidi"/>
                <w:color w:val="000000" w:themeColor="text1"/>
              </w:rPr>
              <w:t xml:space="preserve"> </w:t>
            </w:r>
          </w:p>
          <w:p w:rsidR="00E71F3E" w:rsidRPr="00C17879" w:rsidRDefault="00E71F3E" w:rsidP="00813C91">
            <w:pPr>
              <w:pStyle w:val="Tabletext"/>
              <w:rPr>
                <w:rFonts w:asciiTheme="majorBidi" w:eastAsia="SimSun" w:hAnsiTheme="majorBidi" w:cstheme="majorBidi"/>
              </w:rPr>
            </w:pPr>
            <w:r w:rsidRPr="00C17879">
              <w:rPr>
                <w:rFonts w:asciiTheme="majorBidi" w:eastAsia="SimSun" w:hAnsiTheme="majorBidi" w:cstheme="majorBidi"/>
              </w:rPr>
              <w:t>Specify in which band(s) the candidate RIT or candidate SRIT can be deployed.</w:t>
            </w:r>
          </w:p>
          <w:p w:rsidR="00E71F3E" w:rsidRPr="00C17879" w:rsidRDefault="00E71F3E" w:rsidP="00813C91">
            <w:pPr>
              <w:pStyle w:val="Tabletext"/>
              <w:rPr>
                <w:rFonts w:asciiTheme="majorBidi" w:eastAsia="Malgun Gothic" w:hAnsiTheme="majorBidi" w:cstheme="majorBidi"/>
                <w:lang w:eastAsia="ko-KR"/>
              </w:rPr>
            </w:pPr>
            <w:r w:rsidRPr="00C17879">
              <w:rPr>
                <w:rFonts w:asciiTheme="majorBidi" w:eastAsia="Malgun Gothic" w:hAnsiTheme="majorBidi" w:cstheme="majorBidi"/>
                <w:lang w:eastAsia="ko-KR"/>
              </w:rPr>
              <w:t>NOTE 1 – In the case of the candidate SRIT, at least one of the component RITs need to fulfil this requirement.</w:t>
            </w:r>
          </w:p>
          <w:p w:rsidR="00E71F3E" w:rsidRPr="00C17879" w:rsidRDefault="00E71F3E" w:rsidP="00813C91">
            <w:pPr>
              <w:pStyle w:val="Tabletext"/>
              <w:rPr>
                <w:rFonts w:asciiTheme="majorBidi" w:eastAsia="Malgun Gothic" w:hAnsiTheme="majorBidi" w:cstheme="majorBidi"/>
                <w:lang w:eastAsia="ko-KR"/>
              </w:rPr>
            </w:pPr>
          </w:p>
          <w:p w:rsidR="00E71F3E" w:rsidRPr="00C17879" w:rsidRDefault="00E71F3E" w:rsidP="00E71F3E">
            <w:pPr>
              <w:pStyle w:val="Tabletext"/>
              <w:rPr>
                <w:rFonts w:asciiTheme="majorBidi" w:eastAsiaTheme="minorEastAsia" w:hAnsiTheme="majorBidi" w:cstheme="majorBidi"/>
                <w:i/>
                <w:color w:val="0000FF"/>
                <w:u w:val="single"/>
                <w:lang w:eastAsia="zh-CN"/>
              </w:rPr>
            </w:pPr>
            <w:r w:rsidRPr="00C17879">
              <w:rPr>
                <w:rFonts w:asciiTheme="majorBidi" w:hAnsiTheme="majorBidi" w:cstheme="majorBidi"/>
                <w:i/>
                <w:color w:val="0000FF"/>
                <w:u w:val="single"/>
              </w:rPr>
              <w:t>24250-52600 MHz</w:t>
            </w:r>
            <w:r w:rsidRPr="00C17879">
              <w:rPr>
                <w:rFonts w:asciiTheme="majorBidi" w:eastAsiaTheme="minorEastAsia" w:hAnsiTheme="majorBidi" w:cstheme="majorBidi"/>
                <w:i/>
                <w:color w:val="0000FF"/>
                <w:u w:val="single"/>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3106"/>
              <w:gridCol w:w="1286"/>
            </w:tblGrid>
            <w:tr w:rsidR="00E71F3E" w:rsidRPr="00C17879" w:rsidTr="00C17879">
              <w:trPr>
                <w:trHeight w:val="704"/>
                <w:jc w:val="center"/>
              </w:trPr>
              <w:tc>
                <w:tcPr>
                  <w:tcW w:w="1037" w:type="dxa"/>
                  <w:shd w:val="clear" w:color="auto" w:fill="auto"/>
                  <w:vAlign w:val="center"/>
                </w:tcPr>
                <w:p w:rsidR="00E71F3E" w:rsidRPr="00C17879" w:rsidRDefault="00E71F3E" w:rsidP="00C17879">
                  <w:pPr>
                    <w:pStyle w:val="TAH"/>
                    <w:rPr>
                      <w:rFonts w:asciiTheme="majorBidi" w:hAnsiTheme="majorBidi" w:cstheme="majorBidi"/>
                      <w:color w:val="0000FF"/>
                      <w:szCs w:val="18"/>
                    </w:rPr>
                  </w:pPr>
                  <w:r w:rsidRPr="00C17879">
                    <w:rPr>
                      <w:rFonts w:asciiTheme="majorBidi" w:hAnsiTheme="majorBidi" w:cstheme="majorBidi"/>
                      <w:color w:val="0000FF"/>
                      <w:szCs w:val="18"/>
                    </w:rPr>
                    <w:t xml:space="preserve">NR </w:t>
                  </w:r>
                  <w:r w:rsidRPr="00C17879">
                    <w:rPr>
                      <w:rFonts w:asciiTheme="majorBidi" w:hAnsiTheme="majorBidi" w:cstheme="majorBidi"/>
                      <w:i/>
                      <w:color w:val="0000FF"/>
                      <w:szCs w:val="18"/>
                    </w:rPr>
                    <w:t>operating band</w:t>
                  </w:r>
                </w:p>
              </w:tc>
              <w:tc>
                <w:tcPr>
                  <w:tcW w:w="3106" w:type="dxa"/>
                  <w:shd w:val="clear" w:color="auto" w:fill="auto"/>
                  <w:vAlign w:val="center"/>
                </w:tcPr>
                <w:p w:rsidR="00E71F3E" w:rsidRPr="00C17879" w:rsidRDefault="00E71F3E" w:rsidP="00C17879">
                  <w:pPr>
                    <w:pStyle w:val="TAH"/>
                    <w:rPr>
                      <w:rFonts w:asciiTheme="majorBidi" w:hAnsiTheme="majorBidi" w:cstheme="majorBidi"/>
                      <w:color w:val="0000FF"/>
                      <w:szCs w:val="18"/>
                    </w:rPr>
                  </w:pPr>
                  <w:r w:rsidRPr="00C17879">
                    <w:rPr>
                      <w:rFonts w:asciiTheme="majorBidi" w:hAnsiTheme="majorBidi" w:cstheme="majorBidi"/>
                      <w:color w:val="0000FF"/>
                      <w:szCs w:val="18"/>
                    </w:rPr>
                    <w:t xml:space="preserve">Uplink (UL) and Downlink (DL) </w:t>
                  </w:r>
                  <w:r w:rsidRPr="00C17879">
                    <w:rPr>
                      <w:rFonts w:asciiTheme="majorBidi" w:hAnsiTheme="majorBidi" w:cstheme="majorBidi"/>
                      <w:i/>
                      <w:color w:val="0000FF"/>
                      <w:szCs w:val="18"/>
                    </w:rPr>
                    <w:t>operating band</w:t>
                  </w:r>
                  <w:r w:rsidRPr="00C17879">
                    <w:rPr>
                      <w:rFonts w:asciiTheme="majorBidi" w:hAnsiTheme="majorBidi" w:cstheme="majorBidi"/>
                      <w:color w:val="0000FF"/>
                      <w:szCs w:val="18"/>
                    </w:rPr>
                    <w:br/>
                    <w:t>BS transmit/receive</w:t>
                  </w:r>
                  <w:r w:rsidRPr="00C17879">
                    <w:rPr>
                      <w:rFonts w:asciiTheme="majorBidi" w:hAnsiTheme="majorBidi" w:cstheme="majorBidi"/>
                      <w:color w:val="0000FF"/>
                      <w:szCs w:val="18"/>
                    </w:rPr>
                    <w:br/>
                    <w:t>UE transmit/receive</w:t>
                  </w:r>
                </w:p>
                <w:p w:rsidR="00E71F3E" w:rsidRPr="00C17879" w:rsidRDefault="00E71F3E" w:rsidP="00C17879">
                  <w:pPr>
                    <w:pStyle w:val="TAH"/>
                    <w:rPr>
                      <w:rFonts w:asciiTheme="majorBidi" w:hAnsiTheme="majorBidi" w:cstheme="majorBidi"/>
                      <w:color w:val="0000FF"/>
                      <w:szCs w:val="18"/>
                      <w:vertAlign w:val="subscript"/>
                    </w:rPr>
                  </w:pPr>
                  <w:r w:rsidRPr="00C17879">
                    <w:rPr>
                      <w:rFonts w:asciiTheme="majorBidi" w:hAnsiTheme="majorBidi" w:cstheme="majorBidi"/>
                      <w:color w:val="0000FF"/>
                      <w:szCs w:val="18"/>
                    </w:rPr>
                    <w:t>F</w:t>
                  </w:r>
                  <w:r w:rsidRPr="00C17879">
                    <w:rPr>
                      <w:rFonts w:asciiTheme="majorBidi" w:hAnsiTheme="majorBidi" w:cstheme="majorBidi"/>
                      <w:color w:val="0000FF"/>
                      <w:szCs w:val="18"/>
                      <w:vertAlign w:val="subscript"/>
                    </w:rPr>
                    <w:t>UL_low</w:t>
                  </w:r>
                  <w:r w:rsidRPr="00C17879">
                    <w:rPr>
                      <w:rFonts w:asciiTheme="majorBidi" w:hAnsiTheme="majorBidi" w:cstheme="majorBidi"/>
                      <w:color w:val="0000FF"/>
                      <w:szCs w:val="18"/>
                    </w:rPr>
                    <w:t xml:space="preserve">   –  F</w:t>
                  </w:r>
                  <w:r w:rsidRPr="00C17879">
                    <w:rPr>
                      <w:rFonts w:asciiTheme="majorBidi" w:hAnsiTheme="majorBidi" w:cstheme="majorBidi"/>
                      <w:color w:val="0000FF"/>
                      <w:szCs w:val="18"/>
                      <w:vertAlign w:val="subscript"/>
                    </w:rPr>
                    <w:t>UL_high</w:t>
                  </w:r>
                </w:p>
                <w:p w:rsidR="00E71F3E" w:rsidRPr="00C17879" w:rsidRDefault="00E71F3E" w:rsidP="00C17879">
                  <w:pPr>
                    <w:pStyle w:val="TAH"/>
                    <w:rPr>
                      <w:rFonts w:asciiTheme="majorBidi" w:hAnsiTheme="majorBidi" w:cstheme="majorBidi"/>
                      <w:color w:val="0000FF"/>
                      <w:szCs w:val="18"/>
                    </w:rPr>
                  </w:pPr>
                  <w:r w:rsidRPr="00C17879">
                    <w:rPr>
                      <w:rFonts w:asciiTheme="majorBidi" w:hAnsiTheme="majorBidi" w:cstheme="majorBidi"/>
                      <w:color w:val="0000FF"/>
                      <w:szCs w:val="18"/>
                    </w:rPr>
                    <w:t>F</w:t>
                  </w:r>
                  <w:r w:rsidRPr="00C17879">
                    <w:rPr>
                      <w:rFonts w:asciiTheme="majorBidi" w:hAnsiTheme="majorBidi" w:cstheme="majorBidi"/>
                      <w:color w:val="0000FF"/>
                      <w:szCs w:val="18"/>
                      <w:vertAlign w:val="subscript"/>
                    </w:rPr>
                    <w:t>DL_low</w:t>
                  </w:r>
                  <w:r w:rsidRPr="00C17879">
                    <w:rPr>
                      <w:rFonts w:asciiTheme="majorBidi" w:hAnsiTheme="majorBidi" w:cstheme="majorBidi"/>
                      <w:color w:val="0000FF"/>
                      <w:szCs w:val="18"/>
                    </w:rPr>
                    <w:t xml:space="preserve">   –  F</w:t>
                  </w:r>
                  <w:r w:rsidRPr="00C17879">
                    <w:rPr>
                      <w:rFonts w:asciiTheme="majorBidi" w:hAnsiTheme="majorBidi" w:cstheme="majorBidi"/>
                      <w:color w:val="0000FF"/>
                      <w:szCs w:val="18"/>
                      <w:vertAlign w:val="subscript"/>
                    </w:rPr>
                    <w:t>DL_high</w:t>
                  </w:r>
                </w:p>
              </w:tc>
              <w:tc>
                <w:tcPr>
                  <w:tcW w:w="1286" w:type="dxa"/>
                  <w:shd w:val="clear" w:color="auto" w:fill="auto"/>
                  <w:vAlign w:val="center"/>
                </w:tcPr>
                <w:p w:rsidR="00E71F3E" w:rsidRPr="00C17879" w:rsidRDefault="00E71F3E" w:rsidP="00C17879">
                  <w:pPr>
                    <w:pStyle w:val="TAH"/>
                    <w:rPr>
                      <w:rFonts w:asciiTheme="majorBidi" w:hAnsiTheme="majorBidi" w:cstheme="majorBidi"/>
                      <w:color w:val="0000FF"/>
                      <w:szCs w:val="18"/>
                    </w:rPr>
                  </w:pPr>
                  <w:r w:rsidRPr="00C17879">
                    <w:rPr>
                      <w:rFonts w:asciiTheme="majorBidi" w:hAnsiTheme="majorBidi" w:cstheme="majorBidi"/>
                      <w:color w:val="0000FF"/>
                      <w:szCs w:val="18"/>
                    </w:rPr>
                    <w:t>Duplex Mode</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n257</w:t>
                  </w:r>
                </w:p>
              </w:tc>
              <w:tc>
                <w:tcPr>
                  <w:tcW w:w="31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26500 MHz – 29500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n258</w:t>
                  </w:r>
                </w:p>
              </w:tc>
              <w:tc>
                <w:tcPr>
                  <w:tcW w:w="31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24250 MHz – 27500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n260</w:t>
                  </w:r>
                </w:p>
              </w:tc>
              <w:tc>
                <w:tcPr>
                  <w:tcW w:w="31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37000 MHz – 40000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r w:rsidR="00E71F3E" w:rsidRPr="00C17879" w:rsidTr="00813C91">
              <w:trPr>
                <w:jc w:val="center"/>
              </w:trPr>
              <w:tc>
                <w:tcPr>
                  <w:tcW w:w="1037"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n261</w:t>
                  </w:r>
                </w:p>
              </w:tc>
              <w:tc>
                <w:tcPr>
                  <w:tcW w:w="310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27500 MHz – 28350 MHz</w:t>
                  </w:r>
                </w:p>
              </w:tc>
              <w:tc>
                <w:tcPr>
                  <w:tcW w:w="1286" w:type="dxa"/>
                  <w:shd w:val="clear" w:color="auto" w:fill="auto"/>
                </w:tcPr>
                <w:p w:rsidR="00E71F3E" w:rsidRPr="00C17879" w:rsidRDefault="00E71F3E" w:rsidP="00813C91">
                  <w:pPr>
                    <w:pStyle w:val="TAC"/>
                    <w:rPr>
                      <w:rFonts w:asciiTheme="majorBidi" w:hAnsiTheme="majorBidi" w:cstheme="majorBidi"/>
                      <w:color w:val="0000FF"/>
                      <w:szCs w:val="18"/>
                    </w:rPr>
                  </w:pPr>
                  <w:r w:rsidRPr="00C17879">
                    <w:rPr>
                      <w:rFonts w:asciiTheme="majorBidi" w:hAnsiTheme="majorBidi" w:cstheme="majorBidi"/>
                      <w:color w:val="0000FF"/>
                      <w:szCs w:val="18"/>
                    </w:rPr>
                    <w:t>TDD</w:t>
                  </w:r>
                </w:p>
              </w:tc>
            </w:tr>
          </w:tbl>
          <w:p w:rsidR="00E71F3E" w:rsidRPr="00C17879" w:rsidRDefault="00E71F3E" w:rsidP="00813C91">
            <w:pPr>
              <w:pStyle w:val="Tabletext"/>
              <w:rPr>
                <w:rFonts w:asciiTheme="majorBidi" w:eastAsiaTheme="minorEastAsia" w:hAnsiTheme="majorBidi" w:cstheme="majorBidi"/>
                <w:i/>
                <w:color w:val="0000FF"/>
                <w:u w:val="single"/>
                <w:lang w:val="en-US" w:eastAsia="zh-CN"/>
              </w:rPr>
            </w:pPr>
          </w:p>
          <w:p w:rsidR="00E71F3E" w:rsidRPr="00C17879" w:rsidRDefault="00E71F3E" w:rsidP="00813C91">
            <w:pPr>
              <w:pStyle w:val="Tabletext"/>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720"/>
              </w:tabs>
              <w:rPr>
                <w:rFonts w:asciiTheme="majorBidi" w:hAnsiTheme="majorBidi" w:cstheme="majorBidi"/>
                <w:i/>
                <w:iCs/>
                <w:color w:val="0000FF"/>
              </w:rPr>
            </w:pPr>
            <w:r w:rsidRPr="00C17879">
              <w:rPr>
                <w:rFonts w:asciiTheme="majorBidi" w:hAnsiTheme="majorBidi" w:cstheme="majorBidi"/>
                <w:i/>
                <w:iCs/>
                <w:color w:val="0000FF"/>
              </w:rPr>
              <w:t>Additional frequency bands can be introduced in the future in release independent manner. Support for frequency bands above 52</w:t>
            </w:r>
            <w:r w:rsidR="00C17879">
              <w:rPr>
                <w:rFonts w:asciiTheme="majorBidi" w:hAnsiTheme="majorBidi" w:cstheme="majorBidi"/>
                <w:i/>
                <w:iCs/>
                <w:color w:val="0000FF"/>
              </w:rPr>
              <w:t xml:space="preserve"> </w:t>
            </w:r>
            <w:r w:rsidRPr="00C17879">
              <w:rPr>
                <w:rFonts w:asciiTheme="majorBidi" w:hAnsiTheme="majorBidi" w:cstheme="majorBidi"/>
                <w:i/>
                <w:iCs/>
                <w:color w:val="0000FF"/>
              </w:rPr>
              <w:t xml:space="preserve">600 MHz is under study, and the support </w:t>
            </w:r>
            <w:r w:rsidR="00C17879">
              <w:rPr>
                <w:rFonts w:asciiTheme="majorBidi" w:hAnsiTheme="majorBidi" w:cstheme="majorBidi"/>
                <w:i/>
                <w:iCs/>
                <w:color w:val="0000FF"/>
              </w:rPr>
              <w:t>for frequency bands within 6 000 </w:t>
            </w:r>
            <w:r w:rsidRPr="00C17879">
              <w:rPr>
                <w:rFonts w:asciiTheme="majorBidi" w:hAnsiTheme="majorBidi" w:cstheme="majorBidi"/>
                <w:i/>
                <w:iCs/>
                <w:color w:val="0000FF"/>
              </w:rPr>
              <w:t>MHz to 24</w:t>
            </w:r>
            <w:r w:rsidR="00C17879">
              <w:rPr>
                <w:rFonts w:asciiTheme="majorBidi" w:hAnsiTheme="majorBidi" w:cstheme="majorBidi"/>
                <w:i/>
                <w:iCs/>
                <w:color w:val="0000FF"/>
              </w:rPr>
              <w:t xml:space="preserve"> </w:t>
            </w:r>
            <w:r w:rsidRPr="00C17879">
              <w:rPr>
                <w:rFonts w:asciiTheme="majorBidi" w:hAnsiTheme="majorBidi" w:cstheme="majorBidi"/>
                <w:i/>
                <w:iCs/>
                <w:color w:val="0000FF"/>
              </w:rPr>
              <w:t>250 MHz is planned to be studied.</w:t>
            </w:r>
          </w:p>
          <w:p w:rsidR="00E71F3E" w:rsidRPr="00C17879" w:rsidRDefault="00E71F3E" w:rsidP="00C17879">
            <w:pPr>
              <w:pStyle w:val="Tabletext"/>
              <w:rPr>
                <w:rFonts w:asciiTheme="majorBidi" w:hAnsiTheme="majorBidi" w:cstheme="majorBidi"/>
                <w:lang w:eastAsia="zh-CN"/>
              </w:rPr>
            </w:pPr>
            <w:r w:rsidRPr="00C17879">
              <w:rPr>
                <w:rFonts w:asciiTheme="majorBidi" w:eastAsiaTheme="minorEastAsia" w:hAnsiTheme="majorBidi" w:cstheme="majorBidi"/>
                <w:i/>
                <w:color w:val="0000FF"/>
                <w:lang w:eastAsia="zh-CN"/>
              </w:rPr>
              <w:t>For NB-IoT, Category NB1 and NB2 are designed to operate in band 1, 2, 3, 4, 5, 8, 11, 12, 13, 17, 18, 19, 20, 21, 25, 26, 28, 31, 41, 66, 70, 71, 72 and 74 in the above table. See more details in [36.101] sub-clause 5.5F.</w:t>
            </w:r>
          </w:p>
        </w:tc>
      </w:tr>
    </w:tbl>
    <w:p w:rsidR="00E71F3E" w:rsidRPr="00E71F3E" w:rsidRDefault="00E71F3E" w:rsidP="00E71F3E">
      <w:pPr>
        <w:pStyle w:val="Tablelegend"/>
        <w:tabs>
          <w:tab w:val="clear" w:pos="1134"/>
          <w:tab w:val="left" w:pos="426"/>
        </w:tabs>
        <w:spacing w:before="40" w:after="40"/>
        <w:ind w:left="426" w:hanging="426"/>
      </w:pPr>
      <w:r w:rsidRPr="00E71F3E">
        <w:rPr>
          <w:vertAlign w:val="superscript"/>
        </w:rPr>
        <w:t>(1)</w:t>
      </w:r>
      <w:r w:rsidRPr="00E71F3E">
        <w:t xml:space="preserve"> </w:t>
      </w:r>
      <w:r w:rsidRPr="00E71F3E">
        <w:tab/>
        <w:t>As defined in Report ITU-R M.2410-0.</w:t>
      </w:r>
    </w:p>
    <w:p w:rsidR="00E71F3E" w:rsidRPr="00E71F3E" w:rsidRDefault="00E71F3E" w:rsidP="00E71F3E">
      <w:pPr>
        <w:pStyle w:val="Tablelegend"/>
        <w:tabs>
          <w:tab w:val="clear" w:pos="1134"/>
          <w:tab w:val="left" w:pos="426"/>
        </w:tabs>
        <w:spacing w:before="40" w:after="40"/>
        <w:ind w:left="426" w:hanging="426"/>
      </w:pPr>
      <w:r w:rsidRPr="00E71F3E">
        <w:rPr>
          <w:vertAlign w:val="superscript"/>
        </w:rPr>
        <w:t>(2)</w:t>
      </w:r>
      <w:r w:rsidRPr="00E71F3E">
        <w:t xml:space="preserve">  </w:t>
      </w:r>
      <w:r w:rsidRPr="00E71F3E">
        <w:tab/>
        <w:t>According to the evaluation methodology specified in Report ITU-R M.2412-0.</w:t>
      </w:r>
    </w:p>
    <w:p w:rsidR="00E71F3E" w:rsidRDefault="00E71F3E" w:rsidP="00C17879">
      <w:pPr>
        <w:pStyle w:val="Tablelegend"/>
        <w:tabs>
          <w:tab w:val="clear" w:pos="1134"/>
          <w:tab w:val="left" w:pos="426"/>
        </w:tabs>
        <w:spacing w:before="40" w:after="40"/>
        <w:ind w:left="426" w:hanging="426"/>
      </w:pPr>
      <w:r w:rsidRPr="00E71F3E">
        <w:rPr>
          <w:vertAlign w:val="superscript"/>
        </w:rPr>
        <w:t>(3)</w:t>
      </w:r>
      <w:r w:rsidRPr="00E71F3E">
        <w:tab/>
      </w:r>
      <w:r w:rsidRPr="00E71F3E">
        <w:rPr>
          <w:rFonts w:eastAsia="Malgun Gothic"/>
        </w:rPr>
        <w:t>Proponents should report their selected evaluation methodology of the Connection density, the channel model variant used, and evaluation configuration(s) with their exact values (e.g. antenna element number, bandwidth, etc.) per test environment</w:t>
      </w:r>
      <w:r w:rsidRPr="00E71F3E">
        <w:rPr>
          <w:lang w:eastAsia="ja-JP"/>
        </w:rPr>
        <w:t>, and could provide other relevant information as well</w:t>
      </w:r>
      <w:r w:rsidRPr="00E71F3E">
        <w:rPr>
          <w:rFonts w:eastAsia="Malgun Gothic"/>
        </w:rPr>
        <w:t>. For details, refer to Report ITU-R M.2412-0, in particular, § 7.1.3 for the evaluation methodologies, § 8.4 for the evaluation configurations per each test environment, and Annex 1 on the channel model variants.</w:t>
      </w:r>
    </w:p>
    <w:p w:rsidR="000069D4" w:rsidRPr="00E71F3E" w:rsidRDefault="00E71F3E" w:rsidP="00C17879">
      <w:pPr>
        <w:jc w:val="center"/>
        <w:rPr>
          <w:lang w:eastAsia="zh-CN"/>
        </w:rPr>
      </w:pPr>
      <w:r>
        <w:t>______________</w:t>
      </w:r>
    </w:p>
    <w:sectPr w:rsidR="000069D4" w:rsidRPr="00E71F3E" w:rsidSect="00D02712">
      <w:headerReference w:type="default" r:id="rId9"/>
      <w:footerReference w:type="default" r:id="rId10"/>
      <w:footerReference w:type="first" r:id="rId11"/>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138" w:rsidRDefault="00447138">
      <w:r>
        <w:separator/>
      </w:r>
    </w:p>
  </w:endnote>
  <w:endnote w:type="continuationSeparator" w:id="0">
    <w:p w:rsidR="00447138" w:rsidRDefault="0044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altName w:val="Times New Roman"/>
    <w:charset w:val="00"/>
    <w:family w:val="roman"/>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4A" w:rsidRPr="002F7CB3" w:rsidRDefault="00C673F8">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M:\BRSGD\TEXT2019\SG05\WP5D\000\033e.docx</w:t>
    </w:r>
    <w:r>
      <w:fldChar w:fldCharType="end"/>
    </w:r>
    <w:r w:rsidR="00FA124A">
      <w:t xml:space="preserve"> </w:t>
    </w:r>
    <w:r w:rsidR="00E6257C">
      <w:t>( )</w:t>
    </w:r>
    <w:r w:rsidR="00FA124A" w:rsidRPr="002F7CB3">
      <w:rPr>
        <w:lang w:val="en-US"/>
      </w:rPr>
      <w:tab/>
    </w:r>
    <w:r w:rsidR="00D02712">
      <w:fldChar w:fldCharType="begin"/>
    </w:r>
    <w:r w:rsidR="00FA124A">
      <w:instrText xml:space="preserve"> savedate \@ dd.MM.yy </w:instrText>
    </w:r>
    <w:r w:rsidR="00D02712">
      <w:fldChar w:fldCharType="separate"/>
    </w:r>
    <w:r w:rsidR="001518BE">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4A" w:rsidRPr="002F7CB3" w:rsidRDefault="00C673F8"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Pr>
        <w:lang w:val="en-US"/>
      </w:rPr>
      <w:t>M:\BRSGD\TEXT2019\SG05\WP5D\000\033e.docx</w:t>
    </w:r>
    <w:r>
      <w:fldChar w:fldCharType="end"/>
    </w:r>
    <w:r w:rsidR="00E6257C">
      <w:t xml:space="preserve"> ( )</w:t>
    </w:r>
    <w:r w:rsidR="00FA124A" w:rsidRPr="002F7CB3">
      <w:rPr>
        <w:lang w:val="en-US"/>
      </w:rPr>
      <w:tab/>
    </w:r>
    <w:r w:rsidR="00D02712">
      <w:fldChar w:fldCharType="begin"/>
    </w:r>
    <w:r w:rsidR="00FA124A">
      <w:instrText xml:space="preserve"> savedate \@ dd.MM.yy </w:instrText>
    </w:r>
    <w:r w:rsidR="00D02712">
      <w:fldChar w:fldCharType="separate"/>
    </w:r>
    <w:r w:rsidR="001518BE">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t>21.02.08</w:t>
    </w:r>
    <w:r w:rsidR="00D0271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138" w:rsidRDefault="00447138">
      <w:r>
        <w:t>____________________</w:t>
      </w:r>
    </w:p>
  </w:footnote>
  <w:footnote w:type="continuationSeparator" w:id="0">
    <w:p w:rsidR="00447138" w:rsidRDefault="00447138">
      <w:r>
        <w:continuationSeparator/>
      </w:r>
    </w:p>
  </w:footnote>
  <w:footnote w:id="1">
    <w:p w:rsidR="00E71F3E" w:rsidRPr="00420CE1" w:rsidRDefault="00E71F3E" w:rsidP="00E71F3E">
      <w:pPr>
        <w:pStyle w:val="FootnoteText"/>
        <w:rPr>
          <w:lang w:val="en-US"/>
        </w:rPr>
      </w:pPr>
      <w:r>
        <w:rPr>
          <w:rStyle w:val="FootnoteReference"/>
        </w:rPr>
        <w:footnoteRef/>
      </w:r>
      <w:r>
        <w:t xml:space="preserve"> </w:t>
      </w:r>
      <w:r>
        <w:rPr>
          <w:lang w:val="en-US"/>
        </w:rPr>
        <w:tab/>
        <w:t xml:space="preserve">Submitted on behalf of </w:t>
      </w:r>
      <w:hyperlink r:id="rId1" w:history="1">
        <w:r w:rsidRPr="00041AFD">
          <w:rPr>
            <w:rFonts w:eastAsia="Calibri"/>
            <w:lang w:val="en-US"/>
          </w:rPr>
          <w:t>Africa</w:t>
        </w:r>
        <w:r>
          <w:rPr>
            <w:rFonts w:eastAsia="Calibri"/>
            <w:lang w:val="en-US"/>
          </w:rPr>
          <w:t xml:space="preserve"> </w:t>
        </w:r>
        <w:r w:rsidRPr="00041AFD">
          <w:rPr>
            <w:rFonts w:eastAsia="Calibri"/>
            <w:lang w:val="en-US"/>
          </w:rPr>
          <w:t>Evaluation Group</w:t>
        </w:r>
      </w:hyperlink>
      <w:r w:rsidRPr="00041AFD">
        <w:rPr>
          <w:rFonts w:eastAsia="Calibri"/>
          <w:lang w:val="en-US"/>
        </w:rPr>
        <w:t xml:space="preserve"> (AEG)</w:t>
      </w:r>
      <w:r>
        <w:rPr>
          <w:rFonts w:eastAsia="Calibri"/>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1518BE">
      <w:rPr>
        <w:rStyle w:val="PageNumber"/>
        <w:noProof/>
      </w:rPr>
      <w:t>2</w:t>
    </w:r>
    <w:r w:rsidR="00D02712">
      <w:rPr>
        <w:rStyle w:val="PageNumber"/>
      </w:rPr>
      <w:fldChar w:fldCharType="end"/>
    </w:r>
    <w:r>
      <w:rPr>
        <w:rStyle w:val="PageNumber"/>
      </w:rPr>
      <w:t xml:space="preserve"> -</w:t>
    </w:r>
  </w:p>
  <w:p w:rsidR="00FA124A" w:rsidRDefault="00C76DAC">
    <w:pPr>
      <w:pStyle w:val="Header"/>
      <w:rPr>
        <w:lang w:val="en-US"/>
      </w:rPr>
    </w:pPr>
    <w:r>
      <w:rPr>
        <w:lang w:val="en-US"/>
      </w:rPr>
      <w:t>5D/33-E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941A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AC"/>
    <w:rsid w:val="000069D4"/>
    <w:rsid w:val="000174AD"/>
    <w:rsid w:val="00047A1D"/>
    <w:rsid w:val="000604B9"/>
    <w:rsid w:val="000A7D55"/>
    <w:rsid w:val="000C12C8"/>
    <w:rsid w:val="000C2E8E"/>
    <w:rsid w:val="000E0E7C"/>
    <w:rsid w:val="000F1B4B"/>
    <w:rsid w:val="0012744F"/>
    <w:rsid w:val="00131178"/>
    <w:rsid w:val="001518BE"/>
    <w:rsid w:val="00156F66"/>
    <w:rsid w:val="00163271"/>
    <w:rsid w:val="00182528"/>
    <w:rsid w:val="0018500B"/>
    <w:rsid w:val="00196A19"/>
    <w:rsid w:val="001E537C"/>
    <w:rsid w:val="00202DC1"/>
    <w:rsid w:val="002116EE"/>
    <w:rsid w:val="002309D8"/>
    <w:rsid w:val="002A7FE2"/>
    <w:rsid w:val="002E1B4F"/>
    <w:rsid w:val="002F2E67"/>
    <w:rsid w:val="002F7CB3"/>
    <w:rsid w:val="00315546"/>
    <w:rsid w:val="00330567"/>
    <w:rsid w:val="00386A9D"/>
    <w:rsid w:val="00391081"/>
    <w:rsid w:val="003B2789"/>
    <w:rsid w:val="003C13CE"/>
    <w:rsid w:val="003C697E"/>
    <w:rsid w:val="003E2518"/>
    <w:rsid w:val="003E7CEF"/>
    <w:rsid w:val="00447138"/>
    <w:rsid w:val="004B1EF7"/>
    <w:rsid w:val="004B3FAD"/>
    <w:rsid w:val="004C5749"/>
    <w:rsid w:val="00501DCA"/>
    <w:rsid w:val="00513A47"/>
    <w:rsid w:val="005408DF"/>
    <w:rsid w:val="00573344"/>
    <w:rsid w:val="00583F9B"/>
    <w:rsid w:val="005B0D29"/>
    <w:rsid w:val="005E5C10"/>
    <w:rsid w:val="005F2C78"/>
    <w:rsid w:val="006144E4"/>
    <w:rsid w:val="00650299"/>
    <w:rsid w:val="00655FC5"/>
    <w:rsid w:val="006E7804"/>
    <w:rsid w:val="00814E0A"/>
    <w:rsid w:val="00822581"/>
    <w:rsid w:val="008309DD"/>
    <w:rsid w:val="0083227A"/>
    <w:rsid w:val="00866900"/>
    <w:rsid w:val="00876A8A"/>
    <w:rsid w:val="00881BA1"/>
    <w:rsid w:val="008B418D"/>
    <w:rsid w:val="008C2302"/>
    <w:rsid w:val="008C26B8"/>
    <w:rsid w:val="008D7B6B"/>
    <w:rsid w:val="008F208F"/>
    <w:rsid w:val="00982084"/>
    <w:rsid w:val="00995963"/>
    <w:rsid w:val="009B61EB"/>
    <w:rsid w:val="009C2064"/>
    <w:rsid w:val="009D1697"/>
    <w:rsid w:val="009F3A46"/>
    <w:rsid w:val="009F6520"/>
    <w:rsid w:val="00A014F8"/>
    <w:rsid w:val="00A5173C"/>
    <w:rsid w:val="00A61AEF"/>
    <w:rsid w:val="00AA3371"/>
    <w:rsid w:val="00AD2345"/>
    <w:rsid w:val="00AF173A"/>
    <w:rsid w:val="00B066A4"/>
    <w:rsid w:val="00B07A13"/>
    <w:rsid w:val="00B4279B"/>
    <w:rsid w:val="00B45FC9"/>
    <w:rsid w:val="00B76F35"/>
    <w:rsid w:val="00B81138"/>
    <w:rsid w:val="00BC7CCF"/>
    <w:rsid w:val="00BE470B"/>
    <w:rsid w:val="00C17879"/>
    <w:rsid w:val="00C57A91"/>
    <w:rsid w:val="00C673F8"/>
    <w:rsid w:val="00C76DAC"/>
    <w:rsid w:val="00CC01C2"/>
    <w:rsid w:val="00CF21F2"/>
    <w:rsid w:val="00CF47E5"/>
    <w:rsid w:val="00D02712"/>
    <w:rsid w:val="00D046A7"/>
    <w:rsid w:val="00D214D0"/>
    <w:rsid w:val="00D6546B"/>
    <w:rsid w:val="00DB178B"/>
    <w:rsid w:val="00DC17D3"/>
    <w:rsid w:val="00DD4BED"/>
    <w:rsid w:val="00DE39F0"/>
    <w:rsid w:val="00DE7BF6"/>
    <w:rsid w:val="00DF0AF3"/>
    <w:rsid w:val="00DF7E9F"/>
    <w:rsid w:val="00E27D7E"/>
    <w:rsid w:val="00E42E13"/>
    <w:rsid w:val="00E56D5C"/>
    <w:rsid w:val="00E6257C"/>
    <w:rsid w:val="00E63C59"/>
    <w:rsid w:val="00E71F3E"/>
    <w:rsid w:val="00F25662"/>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CE6D4E-C342-4839-9E57-18A0BC65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uiPriority w:val="9"/>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Char"/>
    <w:qFormat/>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8F208F"/>
    <w:rPr>
      <w:position w:val="6"/>
      <w:sz w:val="18"/>
    </w:rPr>
  </w:style>
  <w:style w:type="paragraph" w:styleId="FootnoteText">
    <w:name w:val="footnote text"/>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link w:val="SourceChar"/>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link w:val="TableheadChar"/>
    <w:qFormat/>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uiPriority w:val="99"/>
    <w:qFormat/>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har"/>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customStyle="1" w:styleId="SourceChar">
    <w:name w:val="Source Char"/>
    <w:basedOn w:val="DefaultParagraphFont"/>
    <w:link w:val="Source"/>
    <w:locked/>
    <w:rsid w:val="00E71F3E"/>
    <w:rPr>
      <w:rFonts w:ascii="Times New Roman" w:hAnsi="Times New Roman"/>
      <w:b/>
      <w:sz w:val="28"/>
      <w:lang w:val="en-GB" w:eastAsia="en-US"/>
    </w:rPr>
  </w:style>
  <w:style w:type="character" w:customStyle="1" w:styleId="Title1Char">
    <w:name w:val="Title 1 Char"/>
    <w:basedOn w:val="SourceChar"/>
    <w:link w:val="Title1"/>
    <w:locked/>
    <w:rsid w:val="00E71F3E"/>
    <w:rPr>
      <w:rFonts w:ascii="Times New Roman" w:hAnsi="Times New Roman"/>
      <w:b w:val="0"/>
      <w:caps/>
      <w:sz w:val="28"/>
      <w:lang w:val="en-GB" w:eastAsia="en-US"/>
    </w:rPr>
  </w:style>
  <w:style w:type="character" w:customStyle="1" w:styleId="Heading1Char">
    <w:name w:val="Heading 1 Char"/>
    <w:basedOn w:val="DefaultParagraphFont"/>
    <w:link w:val="Heading1"/>
    <w:uiPriority w:val="9"/>
    <w:rsid w:val="00E71F3E"/>
    <w:rPr>
      <w:rFonts w:ascii="Times New Roman" w:hAnsi="Times New Roman"/>
      <w:b/>
      <w:sz w:val="28"/>
      <w:lang w:val="en-GB" w:eastAsia="en-US"/>
    </w:rPr>
  </w:style>
  <w:style w:type="character" w:customStyle="1" w:styleId="TabletextChar">
    <w:name w:val="Table_text Char"/>
    <w:basedOn w:val="DefaultParagraphFont"/>
    <w:link w:val="Tabletext"/>
    <w:locked/>
    <w:rsid w:val="00E71F3E"/>
    <w:rPr>
      <w:rFonts w:ascii="Times New Roman" w:hAnsi="Times New Roman"/>
      <w:lang w:val="en-GB" w:eastAsia="en-US"/>
    </w:rPr>
  </w:style>
  <w:style w:type="character" w:customStyle="1" w:styleId="TableheadChar">
    <w:name w:val="Table_head Char"/>
    <w:basedOn w:val="DefaultParagraphFont"/>
    <w:link w:val="Tablehead"/>
    <w:locked/>
    <w:rsid w:val="00E71F3E"/>
    <w:rPr>
      <w:rFonts w:ascii="Times New Roman Bold" w:hAnsi="Times New Roman Bold" w:cs="Times New Roman Bold"/>
      <w:b/>
      <w:lang w:val="en-GB" w:eastAsia="en-US"/>
    </w:rPr>
  </w:style>
  <w:style w:type="paragraph" w:customStyle="1" w:styleId="TAH">
    <w:name w:val="TAH"/>
    <w:basedOn w:val="Normal"/>
    <w:link w:val="TAHCar"/>
    <w:rsid w:val="00E71F3E"/>
    <w:pPr>
      <w:keepNext/>
      <w:keepLines/>
      <w:tabs>
        <w:tab w:val="clear" w:pos="1134"/>
        <w:tab w:val="clear" w:pos="1871"/>
        <w:tab w:val="clear" w:pos="2268"/>
      </w:tabs>
      <w:spacing w:before="0"/>
      <w:jc w:val="center"/>
    </w:pPr>
    <w:rPr>
      <w:rFonts w:ascii="Arial" w:eastAsia="MS Mincho" w:hAnsi="Arial"/>
      <w:b/>
      <w:sz w:val="18"/>
    </w:rPr>
  </w:style>
  <w:style w:type="character" w:customStyle="1" w:styleId="TAHCar">
    <w:name w:val="TAH Car"/>
    <w:link w:val="TAH"/>
    <w:rsid w:val="00E71F3E"/>
    <w:rPr>
      <w:rFonts w:ascii="Arial" w:eastAsia="MS Mincho" w:hAnsi="Arial"/>
      <w:b/>
      <w:sz w:val="18"/>
      <w:lang w:val="en-GB" w:eastAsia="en-US"/>
    </w:rPr>
  </w:style>
  <w:style w:type="paragraph" w:customStyle="1" w:styleId="TAC">
    <w:name w:val="TAC"/>
    <w:basedOn w:val="Normal"/>
    <w:link w:val="TACChar"/>
    <w:rsid w:val="00E71F3E"/>
    <w:pPr>
      <w:keepNext/>
      <w:keepLines/>
      <w:tabs>
        <w:tab w:val="clear" w:pos="1134"/>
        <w:tab w:val="clear" w:pos="1871"/>
        <w:tab w:val="clear" w:pos="2268"/>
      </w:tabs>
      <w:spacing w:before="0"/>
      <w:jc w:val="center"/>
    </w:pPr>
    <w:rPr>
      <w:rFonts w:ascii="Arial" w:hAnsi="Arial"/>
      <w:sz w:val="18"/>
    </w:rPr>
  </w:style>
  <w:style w:type="character" w:customStyle="1" w:styleId="TACChar">
    <w:name w:val="TAC Char"/>
    <w:link w:val="TAC"/>
    <w:rsid w:val="00E71F3E"/>
    <w:rPr>
      <w:rFonts w:ascii="Arial" w:hAnsi="Arial"/>
      <w:sz w:val="18"/>
      <w:lang w:val="en-GB" w:eastAsia="en-US"/>
    </w:rPr>
  </w:style>
  <w:style w:type="paragraph" w:styleId="ListParagraph">
    <w:name w:val="List Paragraph"/>
    <w:basedOn w:val="Normal"/>
    <w:uiPriority w:val="34"/>
    <w:qFormat/>
    <w:rsid w:val="00E71F3E"/>
    <w:pPr>
      <w:tabs>
        <w:tab w:val="clear" w:pos="1134"/>
        <w:tab w:val="clear" w:pos="1871"/>
        <w:tab w:val="clear" w:pos="2268"/>
        <w:tab w:val="left" w:pos="794"/>
        <w:tab w:val="left" w:pos="1191"/>
        <w:tab w:val="left" w:pos="1588"/>
        <w:tab w:val="left" w:pos="1985"/>
      </w:tabs>
      <w:ind w:left="720"/>
      <w:contextualSpacing/>
      <w:jc w:val="both"/>
    </w:pPr>
    <w:rPr>
      <w:lang w:val="fr-FR"/>
    </w:rPr>
  </w:style>
  <w:style w:type="character" w:styleId="Hyperlink">
    <w:name w:val="Hyperlink"/>
    <w:uiPriority w:val="99"/>
    <w:rsid w:val="00C178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R15-IMT.2020-C-0002/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tu.int/oth/R0A06000085/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on\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Jimenez, Virginia</dc:creator>
  <cp:lastModifiedBy>Norton Viard, Emma</cp:lastModifiedBy>
  <cp:revision>1</cp:revision>
  <cp:lastPrinted>2008-02-21T14:04:00Z</cp:lastPrinted>
  <dcterms:created xsi:type="dcterms:W3CDTF">2019-12-16T13:07:00Z</dcterms:created>
  <dcterms:modified xsi:type="dcterms:W3CDTF">2019-12-16T13:07:00Z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