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217E" w:rsidRPr="00515CE9" w:rsidRDefault="00CA19FF" w:rsidP="00CA19FF">
      <w:pPr>
        <w:jc w:val="center"/>
        <w:rPr>
          <w:b/>
          <w:bCs/>
          <w:sz w:val="28"/>
          <w:szCs w:val="28"/>
        </w:rPr>
      </w:pPr>
      <w:r w:rsidRPr="00515CE9">
        <w:rPr>
          <w:b/>
          <w:bCs/>
          <w:sz w:val="28"/>
          <w:szCs w:val="28"/>
        </w:rPr>
        <w:t xml:space="preserve">Nufront’s Response to </w:t>
      </w:r>
      <w:r w:rsidR="008339A8" w:rsidRPr="00515CE9">
        <w:rPr>
          <w:b/>
          <w:bCs/>
          <w:sz w:val="28"/>
          <w:szCs w:val="28"/>
        </w:rPr>
        <w:t xml:space="preserve">the </w:t>
      </w:r>
      <w:r w:rsidRPr="00515CE9">
        <w:rPr>
          <w:b/>
          <w:bCs/>
          <w:sz w:val="28"/>
          <w:szCs w:val="28"/>
        </w:rPr>
        <w:t>Comments</w:t>
      </w:r>
      <w:r w:rsidR="008339A8" w:rsidRPr="00515CE9">
        <w:rPr>
          <w:b/>
          <w:bCs/>
          <w:sz w:val="28"/>
          <w:szCs w:val="28"/>
        </w:rPr>
        <w:t xml:space="preserve"> Raised in SWG Evaluation</w:t>
      </w:r>
    </w:p>
    <w:p w:rsidR="009C7B30" w:rsidRDefault="009C7B30"/>
    <w:p w:rsidR="00CA19FF" w:rsidRPr="004674D2" w:rsidRDefault="00CA19FF" w:rsidP="00CA19FF">
      <w:pPr>
        <w:pStyle w:val="ListParagraph"/>
        <w:numPr>
          <w:ilvl w:val="0"/>
          <w:numId w:val="1"/>
        </w:numPr>
        <w:ind w:firstLineChars="0"/>
        <w:rPr>
          <w:b/>
          <w:bCs/>
          <w:sz w:val="24"/>
          <w:szCs w:val="24"/>
        </w:rPr>
      </w:pPr>
      <w:r w:rsidRPr="004674D2">
        <w:rPr>
          <w:rFonts w:hint="eastAsia"/>
          <w:b/>
          <w:bCs/>
          <w:sz w:val="24"/>
          <w:szCs w:val="24"/>
        </w:rPr>
        <w:t>S</w:t>
      </w:r>
      <w:r w:rsidRPr="004674D2">
        <w:rPr>
          <w:b/>
          <w:bCs/>
          <w:sz w:val="24"/>
          <w:szCs w:val="24"/>
        </w:rPr>
        <w:t>pecification is needed for evaluation</w:t>
      </w:r>
    </w:p>
    <w:p w:rsidR="008339A8" w:rsidRPr="004674D2" w:rsidRDefault="008339A8" w:rsidP="008339A8">
      <w:pPr>
        <w:pStyle w:val="ListParagraph"/>
        <w:ind w:left="360" w:firstLineChars="0" w:firstLine="0"/>
        <w:rPr>
          <w:sz w:val="24"/>
          <w:szCs w:val="24"/>
        </w:rPr>
      </w:pPr>
      <w:r w:rsidRPr="004674D2">
        <w:rPr>
          <w:rFonts w:hint="eastAsia"/>
          <w:sz w:val="24"/>
          <w:szCs w:val="24"/>
        </w:rPr>
        <w:t>T</w:t>
      </w:r>
      <w:r w:rsidRPr="004674D2">
        <w:rPr>
          <w:sz w:val="24"/>
          <w:szCs w:val="24"/>
        </w:rPr>
        <w:t xml:space="preserve">he English version of EUHT specification is </w:t>
      </w:r>
      <w:r w:rsidR="005F415F">
        <w:rPr>
          <w:sz w:val="24"/>
          <w:szCs w:val="24"/>
        </w:rPr>
        <w:t xml:space="preserve">available </w:t>
      </w:r>
      <w:r w:rsidRPr="004674D2">
        <w:rPr>
          <w:sz w:val="24"/>
          <w:szCs w:val="24"/>
        </w:rPr>
        <w:t xml:space="preserve">at </w:t>
      </w:r>
    </w:p>
    <w:p w:rsidR="00425473" w:rsidRDefault="00702973" w:rsidP="00425473">
      <w:pPr>
        <w:pStyle w:val="ListParagraph"/>
        <w:ind w:left="360" w:firstLineChars="0" w:firstLine="0"/>
        <w:rPr>
          <w:sz w:val="24"/>
          <w:szCs w:val="24"/>
        </w:rPr>
      </w:pPr>
      <w:hyperlink r:id="rId10" w:history="1">
        <w:r w:rsidR="00425473" w:rsidRPr="00C16EF3">
          <w:rPr>
            <w:rStyle w:val="Hyperlink"/>
            <w:sz w:val="24"/>
            <w:szCs w:val="24"/>
          </w:rPr>
          <w:t>http://www.nufront.com/en/uploadfile/2019/Enhanced%20Ultra%20High%20Throughput%20(EUHT)%20Technology%20Specification.pdf</w:t>
        </w:r>
      </w:hyperlink>
    </w:p>
    <w:p w:rsidR="008339A8" w:rsidRPr="004674D2" w:rsidRDefault="008339A8" w:rsidP="008339A8">
      <w:pPr>
        <w:pStyle w:val="ListParagraph"/>
        <w:ind w:left="360" w:firstLineChars="0" w:firstLine="0"/>
        <w:rPr>
          <w:sz w:val="24"/>
          <w:szCs w:val="24"/>
        </w:rPr>
      </w:pPr>
      <w:r w:rsidRPr="004674D2">
        <w:rPr>
          <w:sz w:val="24"/>
          <w:szCs w:val="24"/>
        </w:rPr>
        <w:t xml:space="preserve">This hyperlink </w:t>
      </w:r>
      <w:r w:rsidR="00C633A9">
        <w:rPr>
          <w:sz w:val="24"/>
          <w:szCs w:val="24"/>
        </w:rPr>
        <w:t>could</w:t>
      </w:r>
      <w:r w:rsidRPr="004674D2">
        <w:rPr>
          <w:sz w:val="24"/>
          <w:szCs w:val="24"/>
        </w:rPr>
        <w:t xml:space="preserve"> also </w:t>
      </w:r>
      <w:r w:rsidR="00B60EC5">
        <w:rPr>
          <w:sz w:val="24"/>
          <w:szCs w:val="24"/>
        </w:rPr>
        <w:t xml:space="preserve">be </w:t>
      </w:r>
      <w:r w:rsidRPr="004674D2">
        <w:rPr>
          <w:sz w:val="24"/>
          <w:szCs w:val="24"/>
        </w:rPr>
        <w:t>included in the document IMT2020/YYY.</w:t>
      </w:r>
    </w:p>
    <w:p w:rsidR="00CA19FF" w:rsidRPr="004674D2" w:rsidRDefault="00CA19FF" w:rsidP="00CA19FF">
      <w:pPr>
        <w:pStyle w:val="ListParagraph"/>
        <w:numPr>
          <w:ilvl w:val="0"/>
          <w:numId w:val="1"/>
        </w:numPr>
        <w:ind w:firstLineChars="0"/>
        <w:rPr>
          <w:b/>
          <w:bCs/>
          <w:sz w:val="24"/>
          <w:szCs w:val="24"/>
        </w:rPr>
      </w:pPr>
      <w:r w:rsidRPr="004674D2">
        <w:rPr>
          <w:rFonts w:hint="eastAsia"/>
          <w:b/>
          <w:bCs/>
          <w:sz w:val="24"/>
          <w:szCs w:val="24"/>
        </w:rPr>
        <w:t>L</w:t>
      </w:r>
      <w:r w:rsidRPr="004674D2">
        <w:rPr>
          <w:b/>
          <w:bCs/>
          <w:sz w:val="24"/>
          <w:szCs w:val="24"/>
        </w:rPr>
        <w:t>egal right to use the standardization including Nufront’s technology for evaluation</w:t>
      </w:r>
      <w:r w:rsidR="008339A8" w:rsidRPr="004674D2">
        <w:rPr>
          <w:b/>
          <w:bCs/>
          <w:sz w:val="24"/>
          <w:szCs w:val="24"/>
        </w:rPr>
        <w:t>.</w:t>
      </w:r>
    </w:p>
    <w:p w:rsidR="008339A8" w:rsidRPr="004674D2" w:rsidRDefault="008339A8" w:rsidP="008339A8">
      <w:pPr>
        <w:pStyle w:val="ListParagraph"/>
        <w:ind w:left="360" w:firstLineChars="0" w:firstLine="0"/>
        <w:rPr>
          <w:rFonts w:eastAsia="Calibri" w:cs="Calibri"/>
          <w:sz w:val="24"/>
          <w:szCs w:val="24"/>
        </w:rPr>
      </w:pPr>
      <w:r w:rsidRPr="004674D2">
        <w:rPr>
          <w:rFonts w:hint="eastAsia"/>
          <w:sz w:val="24"/>
          <w:szCs w:val="24"/>
        </w:rPr>
        <w:t>I</w:t>
      </w:r>
      <w:r w:rsidRPr="004674D2">
        <w:rPr>
          <w:sz w:val="24"/>
          <w:szCs w:val="24"/>
        </w:rPr>
        <w:t xml:space="preserve">n the </w:t>
      </w:r>
      <w:r w:rsidR="0036679B">
        <w:rPr>
          <w:sz w:val="24"/>
          <w:szCs w:val="24"/>
        </w:rPr>
        <w:t xml:space="preserve">submitted </w:t>
      </w:r>
      <w:r w:rsidRPr="004674D2">
        <w:rPr>
          <w:rFonts w:hint="eastAsia"/>
          <w:sz w:val="24"/>
          <w:szCs w:val="24"/>
        </w:rPr>
        <w:t>“</w:t>
      </w:r>
      <w:r w:rsidRPr="004674D2">
        <w:rPr>
          <w:sz w:val="24"/>
          <w:szCs w:val="24"/>
        </w:rPr>
        <w:t>Completion of Relevant Business Matters for the Proponents of the IMT-2020 process</w:t>
      </w:r>
      <w:r w:rsidRPr="004674D2">
        <w:rPr>
          <w:rFonts w:hint="eastAsia"/>
          <w:sz w:val="24"/>
          <w:szCs w:val="24"/>
        </w:rPr>
        <w:t xml:space="preserve">” </w:t>
      </w:r>
      <w:r w:rsidRPr="004674D2">
        <w:rPr>
          <w:sz w:val="24"/>
          <w:szCs w:val="24"/>
        </w:rPr>
        <w:t>form, Nufront state</w:t>
      </w:r>
      <w:r w:rsidR="0036679B">
        <w:rPr>
          <w:sz w:val="24"/>
          <w:szCs w:val="24"/>
        </w:rPr>
        <w:t>s</w:t>
      </w:r>
      <w:r w:rsidRPr="004674D2">
        <w:rPr>
          <w:sz w:val="24"/>
          <w:szCs w:val="24"/>
        </w:rPr>
        <w:t xml:space="preserve"> that Nufront has </w:t>
      </w:r>
      <w:r w:rsidRPr="004674D2">
        <w:rPr>
          <w:rFonts w:eastAsia="Calibri" w:cs="Calibri"/>
          <w:sz w:val="24"/>
          <w:szCs w:val="24"/>
        </w:rPr>
        <w:t xml:space="preserve">the </w:t>
      </w:r>
      <w:r w:rsidRPr="004674D2">
        <w:rPr>
          <w:rFonts w:eastAsia="Calibri" w:cs="Calibri"/>
          <w:spacing w:val="-2"/>
          <w:sz w:val="24"/>
          <w:szCs w:val="24"/>
        </w:rPr>
        <w:t>l</w:t>
      </w:r>
      <w:r w:rsidRPr="004674D2">
        <w:rPr>
          <w:rFonts w:eastAsia="Calibri" w:cs="Calibri"/>
          <w:sz w:val="24"/>
          <w:szCs w:val="24"/>
        </w:rPr>
        <w:t>egal ri</w:t>
      </w:r>
      <w:r w:rsidRPr="004674D2">
        <w:rPr>
          <w:rFonts w:eastAsia="Calibri" w:cs="Calibri"/>
          <w:spacing w:val="-1"/>
          <w:sz w:val="24"/>
          <w:szCs w:val="24"/>
        </w:rPr>
        <w:t>gh</w:t>
      </w:r>
      <w:r w:rsidRPr="004674D2">
        <w:rPr>
          <w:rFonts w:eastAsia="Calibri" w:cs="Calibri"/>
          <w:sz w:val="24"/>
          <w:szCs w:val="24"/>
        </w:rPr>
        <w:t>ts</w:t>
      </w:r>
      <w:r w:rsidRPr="004674D2">
        <w:rPr>
          <w:rFonts w:eastAsia="Calibri" w:cs="Calibri"/>
          <w:spacing w:val="1"/>
          <w:sz w:val="24"/>
          <w:szCs w:val="24"/>
        </w:rPr>
        <w:t xml:space="preserve"> </w:t>
      </w:r>
      <w:r w:rsidRPr="004674D2">
        <w:rPr>
          <w:rFonts w:eastAsia="Calibri" w:cs="Calibri"/>
          <w:spacing w:val="-2"/>
          <w:sz w:val="24"/>
          <w:szCs w:val="24"/>
        </w:rPr>
        <w:t>t</w:t>
      </w:r>
      <w:r w:rsidRPr="004674D2">
        <w:rPr>
          <w:rFonts w:eastAsia="Calibri" w:cs="Calibri"/>
          <w:sz w:val="24"/>
          <w:szCs w:val="24"/>
        </w:rPr>
        <w:t>o</w:t>
      </w:r>
      <w:r w:rsidRPr="004674D2">
        <w:rPr>
          <w:rFonts w:eastAsia="Calibri" w:cs="Calibri"/>
          <w:spacing w:val="-1"/>
          <w:sz w:val="24"/>
          <w:szCs w:val="24"/>
        </w:rPr>
        <w:t xml:space="preserve"> </w:t>
      </w:r>
      <w:r w:rsidRPr="004674D2">
        <w:rPr>
          <w:rFonts w:eastAsia="Calibri" w:cs="Calibri"/>
          <w:sz w:val="24"/>
          <w:szCs w:val="24"/>
        </w:rPr>
        <w:t>use</w:t>
      </w:r>
      <w:r w:rsidRPr="004674D2">
        <w:rPr>
          <w:rFonts w:eastAsia="Calibri" w:cs="Calibri"/>
          <w:spacing w:val="1"/>
          <w:sz w:val="24"/>
          <w:szCs w:val="24"/>
        </w:rPr>
        <w:t xml:space="preserve"> </w:t>
      </w:r>
      <w:r w:rsidRPr="004674D2">
        <w:rPr>
          <w:rFonts w:eastAsia="Calibri" w:cs="Calibri"/>
          <w:sz w:val="24"/>
          <w:szCs w:val="24"/>
        </w:rPr>
        <w:t xml:space="preserve">the </w:t>
      </w:r>
      <w:r w:rsidRPr="004674D2">
        <w:rPr>
          <w:rFonts w:eastAsia="Calibri" w:cs="Calibri"/>
          <w:spacing w:val="1"/>
          <w:sz w:val="24"/>
          <w:szCs w:val="24"/>
        </w:rPr>
        <w:t>m</w:t>
      </w:r>
      <w:r w:rsidRPr="004674D2">
        <w:rPr>
          <w:rFonts w:eastAsia="Calibri" w:cs="Calibri"/>
          <w:sz w:val="24"/>
          <w:szCs w:val="24"/>
        </w:rPr>
        <w:t>a</w:t>
      </w:r>
      <w:r w:rsidRPr="004674D2">
        <w:rPr>
          <w:rFonts w:eastAsia="Calibri" w:cs="Calibri"/>
          <w:spacing w:val="-2"/>
          <w:sz w:val="24"/>
          <w:szCs w:val="24"/>
        </w:rPr>
        <w:t>t</w:t>
      </w:r>
      <w:r w:rsidRPr="004674D2">
        <w:rPr>
          <w:rFonts w:eastAsia="Calibri" w:cs="Calibri"/>
          <w:sz w:val="24"/>
          <w:szCs w:val="24"/>
        </w:rPr>
        <w:t xml:space="preserve">erial in conjunction with the Steps of the IMT-2020 process. </w:t>
      </w:r>
    </w:p>
    <w:p w:rsidR="008339A8" w:rsidRPr="0036679B" w:rsidRDefault="008339A8" w:rsidP="0036679B">
      <w:pPr>
        <w:pStyle w:val="ListParagraph"/>
        <w:ind w:left="360" w:firstLineChars="0" w:firstLine="0"/>
        <w:rPr>
          <w:rFonts w:cs="Calibri"/>
          <w:sz w:val="24"/>
          <w:szCs w:val="24"/>
        </w:rPr>
      </w:pPr>
      <w:r w:rsidRPr="004674D2">
        <w:rPr>
          <w:rFonts w:cs="Calibri"/>
          <w:sz w:val="24"/>
          <w:szCs w:val="24"/>
        </w:rPr>
        <w:t xml:space="preserve">The national standardization committee </w:t>
      </w:r>
      <w:r w:rsidR="00EB6ABE" w:rsidRPr="004674D2">
        <w:rPr>
          <w:rFonts w:cs="Calibri"/>
          <w:sz w:val="24"/>
          <w:szCs w:val="24"/>
        </w:rPr>
        <w:t xml:space="preserve">of China </w:t>
      </w:r>
      <w:r w:rsidRPr="004674D2">
        <w:rPr>
          <w:rFonts w:cs="Calibri"/>
          <w:sz w:val="24"/>
          <w:szCs w:val="24"/>
        </w:rPr>
        <w:t xml:space="preserve">also confirmed that Nufront has </w:t>
      </w:r>
      <w:r w:rsidR="00994398" w:rsidRPr="004674D2">
        <w:rPr>
          <w:rFonts w:cs="Calibri"/>
          <w:sz w:val="24"/>
          <w:szCs w:val="24"/>
        </w:rPr>
        <w:t>the legal right to use the content and description of the technology, including patents and copyright</w:t>
      </w:r>
      <w:r w:rsidR="00FC7222">
        <w:rPr>
          <w:rFonts w:cs="Calibri"/>
          <w:sz w:val="24"/>
          <w:szCs w:val="24"/>
        </w:rPr>
        <w:t xml:space="preserve"> and make it freely and legally access</w:t>
      </w:r>
      <w:r w:rsidR="005F5AA3">
        <w:rPr>
          <w:rFonts w:cs="Calibri"/>
          <w:sz w:val="24"/>
          <w:szCs w:val="24"/>
        </w:rPr>
        <w:t>ible</w:t>
      </w:r>
      <w:r w:rsidR="00FC7222">
        <w:rPr>
          <w:rFonts w:cs="Calibri"/>
          <w:sz w:val="24"/>
          <w:szCs w:val="24"/>
        </w:rPr>
        <w:t xml:space="preserve"> by public. </w:t>
      </w:r>
    </w:p>
    <w:p w:rsidR="00CA19FF" w:rsidRPr="004674D2" w:rsidRDefault="00E15654" w:rsidP="00CA19FF">
      <w:pPr>
        <w:pStyle w:val="ListParagraph"/>
        <w:numPr>
          <w:ilvl w:val="0"/>
          <w:numId w:val="1"/>
        </w:numPr>
        <w:ind w:firstLineChars="0"/>
        <w:rPr>
          <w:b/>
          <w:bCs/>
          <w:sz w:val="24"/>
          <w:szCs w:val="24"/>
        </w:rPr>
      </w:pPr>
      <w:r w:rsidRPr="004674D2">
        <w:rPr>
          <w:b/>
          <w:bCs/>
          <w:sz w:val="24"/>
          <w:szCs w:val="24"/>
        </w:rPr>
        <w:t xml:space="preserve">Need more proper </w:t>
      </w:r>
      <w:r w:rsidR="00DC1604" w:rsidRPr="004674D2">
        <w:rPr>
          <w:b/>
          <w:bCs/>
          <w:sz w:val="24"/>
          <w:szCs w:val="24"/>
        </w:rPr>
        <w:t>heading of frequency range</w:t>
      </w:r>
    </w:p>
    <w:p w:rsidR="004207E6" w:rsidRDefault="00891984" w:rsidP="004A013B">
      <w:pPr>
        <w:pStyle w:val="ListParagraph"/>
        <w:ind w:left="360" w:firstLineChars="0" w:firstLine="0"/>
        <w:rPr>
          <w:sz w:val="24"/>
          <w:szCs w:val="24"/>
        </w:rPr>
      </w:pPr>
      <w:r w:rsidRPr="004674D2">
        <w:rPr>
          <w:rFonts w:hint="eastAsia"/>
          <w:sz w:val="24"/>
          <w:szCs w:val="24"/>
        </w:rPr>
        <w:t>C</w:t>
      </w:r>
      <w:r w:rsidRPr="004674D2">
        <w:rPr>
          <w:sz w:val="24"/>
          <w:szCs w:val="24"/>
        </w:rPr>
        <w:t xml:space="preserve">urrent heading is N1, N2,…, which </w:t>
      </w:r>
      <w:r w:rsidR="00115041">
        <w:rPr>
          <w:sz w:val="24"/>
          <w:szCs w:val="24"/>
        </w:rPr>
        <w:t xml:space="preserve">might bring confusion with </w:t>
      </w:r>
      <w:r w:rsidRPr="004674D2">
        <w:rPr>
          <w:sz w:val="24"/>
          <w:szCs w:val="24"/>
        </w:rPr>
        <w:t xml:space="preserve">the heading of 3GPP n1, n2, ….  </w:t>
      </w:r>
    </w:p>
    <w:p w:rsidR="00891984" w:rsidRDefault="00891984" w:rsidP="004A013B">
      <w:pPr>
        <w:pStyle w:val="ListParagraph"/>
        <w:ind w:left="360" w:firstLineChars="0" w:firstLine="0"/>
        <w:rPr>
          <w:sz w:val="24"/>
          <w:szCs w:val="24"/>
        </w:rPr>
      </w:pPr>
      <w:r w:rsidRPr="004674D2">
        <w:rPr>
          <w:sz w:val="24"/>
          <w:szCs w:val="24"/>
        </w:rPr>
        <w:t xml:space="preserve">Can be </w:t>
      </w:r>
      <w:r w:rsidR="008939F3" w:rsidRPr="004674D2">
        <w:rPr>
          <w:sz w:val="24"/>
          <w:szCs w:val="24"/>
        </w:rPr>
        <w:t>set</w:t>
      </w:r>
      <w:r w:rsidRPr="004674D2">
        <w:rPr>
          <w:sz w:val="24"/>
          <w:szCs w:val="24"/>
        </w:rPr>
        <w:t xml:space="preserve"> to B1</w:t>
      </w:r>
      <w:r w:rsidRPr="004674D2">
        <w:rPr>
          <w:rFonts w:hint="eastAsia"/>
          <w:sz w:val="24"/>
          <w:szCs w:val="24"/>
        </w:rPr>
        <w:t>,</w:t>
      </w:r>
      <w:r w:rsidRPr="004674D2">
        <w:rPr>
          <w:sz w:val="24"/>
          <w:szCs w:val="24"/>
        </w:rPr>
        <w:t xml:space="preserve"> </w:t>
      </w:r>
      <w:r w:rsidRPr="004674D2">
        <w:rPr>
          <w:rFonts w:hint="eastAsia"/>
          <w:sz w:val="24"/>
          <w:szCs w:val="24"/>
        </w:rPr>
        <w:t>B</w:t>
      </w:r>
      <w:r w:rsidRPr="004674D2">
        <w:rPr>
          <w:sz w:val="24"/>
          <w:szCs w:val="24"/>
        </w:rPr>
        <w:t>2, …</w:t>
      </w:r>
      <w:r w:rsidR="0036679B">
        <w:rPr>
          <w:sz w:val="24"/>
          <w:szCs w:val="24"/>
        </w:rPr>
        <w:t xml:space="preserve">, </w:t>
      </w:r>
      <w:r w:rsidRPr="004674D2">
        <w:rPr>
          <w:sz w:val="24"/>
          <w:szCs w:val="24"/>
        </w:rPr>
        <w:t xml:space="preserve">or no heading </w:t>
      </w:r>
      <w:r w:rsidR="0036679B">
        <w:rPr>
          <w:sz w:val="24"/>
          <w:szCs w:val="24"/>
        </w:rPr>
        <w:t>for better clarification</w:t>
      </w:r>
      <w:r w:rsidRPr="004674D2">
        <w:rPr>
          <w:sz w:val="24"/>
          <w:szCs w:val="24"/>
        </w:rPr>
        <w:t>.</w:t>
      </w:r>
    </w:p>
    <w:p w:rsidR="00AA6E66" w:rsidRPr="00AA6E66" w:rsidRDefault="00AA6E66" w:rsidP="004A013B">
      <w:pPr>
        <w:pStyle w:val="ListParagraph"/>
        <w:ind w:left="360" w:firstLineChars="0" w:firstLine="0"/>
        <w:rPr>
          <w:rFonts w:eastAsia="SimSun" w:cstheme="minorHAnsi"/>
          <w:sz w:val="22"/>
        </w:rPr>
      </w:pPr>
      <w:r>
        <w:rPr>
          <w:rFonts w:hint="eastAsia"/>
          <w:sz w:val="24"/>
          <w:szCs w:val="24"/>
        </w:rPr>
        <w:t>A</w:t>
      </w:r>
      <w:r>
        <w:rPr>
          <w:sz w:val="24"/>
          <w:szCs w:val="24"/>
        </w:rPr>
        <w:t>lso, the “</w:t>
      </w:r>
      <w:r>
        <w:rPr>
          <w:rFonts w:eastAsia="SimSun" w:cstheme="minorHAnsi" w:hint="eastAsia"/>
          <w:sz w:val="22"/>
        </w:rPr>
        <w:t>IMT</w:t>
      </w:r>
      <w:r>
        <w:rPr>
          <w:rFonts w:eastAsia="SimSun" w:cstheme="minorHAnsi"/>
          <w:sz w:val="22"/>
        </w:rPr>
        <w:t xml:space="preserve"> bands (from 450MHz to 6000MHz)” in </w:t>
      </w:r>
      <w:r w:rsidRPr="004674D2">
        <w:rPr>
          <w:sz w:val="24"/>
          <w:szCs w:val="24"/>
        </w:rPr>
        <w:t>characteristics template</w:t>
      </w:r>
      <w:r>
        <w:rPr>
          <w:sz w:val="24"/>
          <w:szCs w:val="24"/>
        </w:rPr>
        <w:t xml:space="preserve"> can </w:t>
      </w:r>
      <w:r w:rsidR="003908FF">
        <w:rPr>
          <w:sz w:val="24"/>
          <w:szCs w:val="24"/>
        </w:rPr>
        <w:t>set to</w:t>
      </w:r>
      <w:r>
        <w:rPr>
          <w:sz w:val="24"/>
          <w:szCs w:val="24"/>
        </w:rPr>
        <w:t xml:space="preserve"> “</w:t>
      </w:r>
      <w:r w:rsidRPr="00AA6E66">
        <w:rPr>
          <w:rFonts w:eastAsia="SimSun" w:cstheme="minorHAnsi"/>
          <w:sz w:val="22"/>
        </w:rPr>
        <w:t>Sub-6 GHz</w:t>
      </w:r>
      <w:r w:rsidR="0046267F">
        <w:rPr>
          <w:rFonts w:eastAsia="SimSun" w:cstheme="minorHAnsi"/>
          <w:sz w:val="22"/>
        </w:rPr>
        <w:t xml:space="preserve"> bands </w:t>
      </w:r>
      <w:r>
        <w:rPr>
          <w:rFonts w:eastAsia="SimSun" w:cstheme="minorHAnsi"/>
          <w:sz w:val="22"/>
        </w:rPr>
        <w:t>(from 450MHz to 6000MHz)</w:t>
      </w:r>
      <w:r w:rsidRPr="00AA6E66">
        <w:rPr>
          <w:rFonts w:eastAsia="SimSun" w:cstheme="minorHAnsi"/>
          <w:sz w:val="22"/>
        </w:rPr>
        <w:t>”</w:t>
      </w:r>
      <w:r>
        <w:rPr>
          <w:rFonts w:eastAsia="SimSun" w:cstheme="minorHAnsi"/>
          <w:sz w:val="22"/>
        </w:rPr>
        <w:t xml:space="preserve"> </w:t>
      </w:r>
      <w:r>
        <w:rPr>
          <w:sz w:val="24"/>
          <w:szCs w:val="24"/>
        </w:rPr>
        <w:t>for better clarification.</w:t>
      </w:r>
    </w:p>
    <w:p w:rsidR="00E15654" w:rsidRPr="004674D2" w:rsidRDefault="00664CA1" w:rsidP="00CA19FF">
      <w:pPr>
        <w:pStyle w:val="ListParagraph"/>
        <w:numPr>
          <w:ilvl w:val="0"/>
          <w:numId w:val="1"/>
        </w:numPr>
        <w:ind w:firstLineChars="0"/>
        <w:rPr>
          <w:b/>
          <w:bCs/>
          <w:sz w:val="24"/>
          <w:szCs w:val="24"/>
        </w:rPr>
      </w:pPr>
      <w:r w:rsidRPr="004674D2">
        <w:rPr>
          <w:rFonts w:hint="eastAsia"/>
          <w:b/>
          <w:bCs/>
          <w:sz w:val="24"/>
          <w:szCs w:val="24"/>
        </w:rPr>
        <w:t>S</w:t>
      </w:r>
      <w:r w:rsidRPr="004674D2">
        <w:rPr>
          <w:b/>
          <w:bCs/>
          <w:sz w:val="24"/>
          <w:szCs w:val="24"/>
        </w:rPr>
        <w:t>ame higher frequency band as those provided by 3GPP</w:t>
      </w:r>
      <w:r w:rsidR="00E37AB1" w:rsidRPr="004674D2">
        <w:rPr>
          <w:b/>
          <w:bCs/>
          <w:sz w:val="24"/>
          <w:szCs w:val="24"/>
        </w:rPr>
        <w:t>.</w:t>
      </w:r>
    </w:p>
    <w:p w:rsidR="000C1E49" w:rsidRPr="000C1E49" w:rsidRDefault="008939F3" w:rsidP="000C1E49">
      <w:pPr>
        <w:pStyle w:val="ListParagraph"/>
        <w:ind w:left="360" w:firstLineChars="0" w:firstLine="0"/>
        <w:rPr>
          <w:sz w:val="24"/>
          <w:szCs w:val="24"/>
        </w:rPr>
      </w:pPr>
      <w:r w:rsidRPr="004674D2">
        <w:rPr>
          <w:rFonts w:hint="eastAsia"/>
          <w:sz w:val="24"/>
          <w:szCs w:val="24"/>
        </w:rPr>
        <w:t>E</w:t>
      </w:r>
      <w:r w:rsidRPr="004674D2">
        <w:rPr>
          <w:sz w:val="24"/>
          <w:szCs w:val="24"/>
        </w:rPr>
        <w:t xml:space="preserve">UHT RIT </w:t>
      </w:r>
      <w:r w:rsidR="0036679B">
        <w:rPr>
          <w:sz w:val="24"/>
          <w:szCs w:val="24"/>
        </w:rPr>
        <w:t xml:space="preserve">can </w:t>
      </w:r>
      <w:r w:rsidRPr="004674D2">
        <w:rPr>
          <w:sz w:val="24"/>
          <w:szCs w:val="24"/>
        </w:rPr>
        <w:t xml:space="preserve">support the </w:t>
      </w:r>
      <w:r w:rsidR="0036679B">
        <w:rPr>
          <w:sz w:val="24"/>
          <w:szCs w:val="24"/>
        </w:rPr>
        <w:t>various</w:t>
      </w:r>
      <w:r w:rsidRPr="004674D2">
        <w:rPr>
          <w:sz w:val="24"/>
          <w:szCs w:val="24"/>
        </w:rPr>
        <w:t xml:space="preserve"> higher frequency bands </w:t>
      </w:r>
      <w:r w:rsidR="0036679B">
        <w:rPr>
          <w:sz w:val="24"/>
          <w:szCs w:val="24"/>
        </w:rPr>
        <w:t xml:space="preserve">which </w:t>
      </w:r>
      <w:r w:rsidRPr="004674D2">
        <w:rPr>
          <w:sz w:val="24"/>
          <w:szCs w:val="24"/>
        </w:rPr>
        <w:t>3GPP NR</w:t>
      </w:r>
      <w:r w:rsidR="0036679B">
        <w:rPr>
          <w:sz w:val="24"/>
          <w:szCs w:val="24"/>
        </w:rPr>
        <w:t xml:space="preserve"> </w:t>
      </w:r>
      <w:r w:rsidR="004207E6">
        <w:rPr>
          <w:sz w:val="24"/>
          <w:szCs w:val="24"/>
        </w:rPr>
        <w:t>supports.</w:t>
      </w:r>
      <w:r w:rsidR="000C1E49">
        <w:rPr>
          <w:sz w:val="24"/>
          <w:szCs w:val="24"/>
        </w:rPr>
        <w:t xml:space="preserve"> There is overlapping between </w:t>
      </w:r>
      <w:r w:rsidR="000C1E49" w:rsidRPr="00B93099">
        <w:rPr>
          <w:sz w:val="24"/>
          <w:szCs w:val="24"/>
        </w:rPr>
        <w:t xml:space="preserve">24250 </w:t>
      </w:r>
      <w:r w:rsidR="000C1E49" w:rsidRPr="000C1E49">
        <w:rPr>
          <w:sz w:val="24"/>
          <w:szCs w:val="24"/>
        </w:rPr>
        <w:t>–</w:t>
      </w:r>
      <w:r w:rsidR="000C1E49" w:rsidRPr="00B93099">
        <w:rPr>
          <w:sz w:val="24"/>
          <w:szCs w:val="24"/>
        </w:rPr>
        <w:t xml:space="preserve"> 27500</w:t>
      </w:r>
      <w:r w:rsidR="000C1E49" w:rsidRPr="000C1E49">
        <w:rPr>
          <w:sz w:val="24"/>
          <w:szCs w:val="24"/>
        </w:rPr>
        <w:t>MHz</w:t>
      </w:r>
      <w:r w:rsidR="000C1E49">
        <w:rPr>
          <w:sz w:val="24"/>
          <w:szCs w:val="24"/>
        </w:rPr>
        <w:t xml:space="preserve"> (26GHz band)</w:t>
      </w:r>
      <w:r w:rsidR="000C1E49" w:rsidRPr="000C1E49">
        <w:rPr>
          <w:sz w:val="24"/>
          <w:szCs w:val="24"/>
        </w:rPr>
        <w:t xml:space="preserve"> and</w:t>
      </w:r>
      <w:r w:rsidR="000C1E49">
        <w:rPr>
          <w:sz w:val="24"/>
          <w:szCs w:val="24"/>
        </w:rPr>
        <w:t xml:space="preserve"> </w:t>
      </w:r>
      <w:r w:rsidR="000C1E49" w:rsidRPr="00B93099">
        <w:rPr>
          <w:sz w:val="24"/>
          <w:szCs w:val="24"/>
        </w:rPr>
        <w:t xml:space="preserve">26500 </w:t>
      </w:r>
      <w:r w:rsidR="000C1E49" w:rsidRPr="000C1E49">
        <w:rPr>
          <w:sz w:val="24"/>
          <w:szCs w:val="24"/>
        </w:rPr>
        <w:t>–</w:t>
      </w:r>
      <w:r w:rsidR="000C1E49" w:rsidRPr="00B93099">
        <w:rPr>
          <w:sz w:val="24"/>
          <w:szCs w:val="24"/>
        </w:rPr>
        <w:t xml:space="preserve"> 29500</w:t>
      </w:r>
      <w:r w:rsidR="000C1E49" w:rsidRPr="000C1E49">
        <w:rPr>
          <w:sz w:val="24"/>
          <w:szCs w:val="24"/>
        </w:rPr>
        <w:t>MHz</w:t>
      </w:r>
      <w:r w:rsidR="000C1E49">
        <w:rPr>
          <w:sz w:val="24"/>
          <w:szCs w:val="24"/>
        </w:rPr>
        <w:t xml:space="preserve"> (28GHz band)</w:t>
      </w:r>
      <w:r w:rsidR="000C1E49" w:rsidRPr="000C1E49">
        <w:rPr>
          <w:sz w:val="24"/>
          <w:szCs w:val="24"/>
        </w:rPr>
        <w:t xml:space="preserve"> </w:t>
      </w:r>
      <w:r w:rsidR="000C1E49">
        <w:rPr>
          <w:sz w:val="24"/>
          <w:szCs w:val="24"/>
        </w:rPr>
        <w:t xml:space="preserve">due to the current different regional regulations which is expected to be coordinated in WRC-19. EUHT supports both the overlapping bands to utilize more </w:t>
      </w:r>
      <w:r w:rsidR="009D781F">
        <w:rPr>
          <w:sz w:val="24"/>
          <w:szCs w:val="24"/>
        </w:rPr>
        <w:t>spectrum.</w:t>
      </w:r>
    </w:p>
    <w:p w:rsidR="00664CA1" w:rsidRPr="004674D2" w:rsidRDefault="00D43265" w:rsidP="00CA19FF">
      <w:pPr>
        <w:pStyle w:val="ListParagraph"/>
        <w:numPr>
          <w:ilvl w:val="0"/>
          <w:numId w:val="1"/>
        </w:numPr>
        <w:ind w:firstLineChars="0"/>
        <w:rPr>
          <w:b/>
          <w:bCs/>
          <w:sz w:val="24"/>
          <w:szCs w:val="24"/>
        </w:rPr>
      </w:pPr>
      <w:r w:rsidRPr="004674D2">
        <w:rPr>
          <w:b/>
          <w:bCs/>
          <w:sz w:val="24"/>
          <w:szCs w:val="24"/>
        </w:rPr>
        <w:t>Whether can the countries who are following M.1036 by FDD band use this technology?</w:t>
      </w:r>
    </w:p>
    <w:p w:rsidR="008939F3" w:rsidRPr="004674D2" w:rsidRDefault="008939F3" w:rsidP="008939F3">
      <w:pPr>
        <w:pStyle w:val="ListParagraph"/>
        <w:ind w:left="360" w:firstLineChars="0" w:firstLine="0"/>
        <w:rPr>
          <w:sz w:val="24"/>
          <w:szCs w:val="24"/>
        </w:rPr>
      </w:pPr>
      <w:r w:rsidRPr="004674D2">
        <w:rPr>
          <w:rFonts w:hint="eastAsia"/>
          <w:sz w:val="24"/>
          <w:szCs w:val="24"/>
        </w:rPr>
        <w:t>E</w:t>
      </w:r>
      <w:r w:rsidRPr="004674D2">
        <w:rPr>
          <w:sz w:val="24"/>
          <w:szCs w:val="24"/>
        </w:rPr>
        <w:t>UHT RIT only support</w:t>
      </w:r>
      <w:r w:rsidR="00796B7E" w:rsidRPr="004674D2">
        <w:rPr>
          <w:sz w:val="24"/>
          <w:szCs w:val="24"/>
        </w:rPr>
        <w:t>s</w:t>
      </w:r>
      <w:r w:rsidRPr="004674D2">
        <w:rPr>
          <w:sz w:val="24"/>
          <w:szCs w:val="24"/>
        </w:rPr>
        <w:t xml:space="preserve"> TDD. </w:t>
      </w:r>
    </w:p>
    <w:p w:rsidR="00D43265" w:rsidRPr="004674D2" w:rsidRDefault="00D43265" w:rsidP="00CA19FF">
      <w:pPr>
        <w:pStyle w:val="ListParagraph"/>
        <w:numPr>
          <w:ilvl w:val="0"/>
          <w:numId w:val="1"/>
        </w:numPr>
        <w:ind w:firstLineChars="0"/>
        <w:rPr>
          <w:b/>
          <w:bCs/>
          <w:sz w:val="24"/>
          <w:szCs w:val="24"/>
        </w:rPr>
      </w:pPr>
      <w:r w:rsidRPr="004674D2">
        <w:rPr>
          <w:b/>
          <w:bCs/>
          <w:sz w:val="24"/>
          <w:szCs w:val="24"/>
        </w:rPr>
        <w:t>Regarding connection density, different bandwidth in characteristics template and evaluation report</w:t>
      </w:r>
    </w:p>
    <w:p w:rsidR="00F62CA4" w:rsidRDefault="00796B7E" w:rsidP="00796B7E">
      <w:pPr>
        <w:pStyle w:val="ListParagraph"/>
        <w:ind w:left="360" w:firstLineChars="0" w:firstLine="0"/>
        <w:rPr>
          <w:sz w:val="24"/>
          <w:szCs w:val="24"/>
        </w:rPr>
      </w:pPr>
      <w:r w:rsidRPr="004674D2">
        <w:rPr>
          <w:rFonts w:hint="eastAsia"/>
          <w:sz w:val="24"/>
          <w:szCs w:val="24"/>
        </w:rPr>
        <w:t>T</w:t>
      </w:r>
      <w:r w:rsidRPr="004674D2">
        <w:rPr>
          <w:sz w:val="24"/>
          <w:szCs w:val="24"/>
        </w:rPr>
        <w:t>he bandwidth in characteristics template is the minimum bandwidth of a carrier while the bandwidth described in connection density evaluation report is the bandwidth of a resource unit, which is 625</w:t>
      </w:r>
      <w:r w:rsidR="004207E6" w:rsidRPr="004674D2">
        <w:rPr>
          <w:sz w:val="24"/>
          <w:szCs w:val="24"/>
        </w:rPr>
        <w:t>KHz.</w:t>
      </w:r>
      <w:r w:rsidRPr="004674D2">
        <w:rPr>
          <w:sz w:val="24"/>
          <w:szCs w:val="24"/>
        </w:rPr>
        <w:t xml:space="preserve"> In the submitted excel file of connection density evaluation results, it </w:t>
      </w:r>
      <w:r w:rsidR="00A23DBC">
        <w:rPr>
          <w:sz w:val="24"/>
          <w:szCs w:val="24"/>
        </w:rPr>
        <w:t xml:space="preserve">explicitly </w:t>
      </w:r>
      <w:r w:rsidRPr="004674D2">
        <w:rPr>
          <w:sz w:val="24"/>
          <w:szCs w:val="24"/>
        </w:rPr>
        <w:t xml:space="preserve">states that </w:t>
      </w:r>
      <w:r w:rsidR="004207E6">
        <w:rPr>
          <w:sz w:val="24"/>
          <w:szCs w:val="24"/>
        </w:rPr>
        <w:t>“</w:t>
      </w:r>
      <w:r w:rsidRPr="004674D2">
        <w:rPr>
          <w:sz w:val="24"/>
          <w:szCs w:val="24"/>
        </w:rPr>
        <w:t>TCH scheduling unit is 625KHz.</w:t>
      </w:r>
      <w:r w:rsidR="004207E6">
        <w:rPr>
          <w:sz w:val="24"/>
          <w:szCs w:val="24"/>
        </w:rPr>
        <w:t>”</w:t>
      </w:r>
      <w:r w:rsidRPr="004674D2">
        <w:rPr>
          <w:sz w:val="24"/>
          <w:szCs w:val="24"/>
        </w:rPr>
        <w:t xml:space="preserve"> </w:t>
      </w:r>
    </w:p>
    <w:p w:rsidR="00796B7E" w:rsidRPr="004674D2" w:rsidRDefault="00A23DBC" w:rsidP="00796B7E">
      <w:pPr>
        <w:pStyle w:val="ListParagraph"/>
        <w:ind w:left="360" w:firstLineChars="0" w:firstLine="0"/>
        <w:rPr>
          <w:sz w:val="24"/>
          <w:szCs w:val="24"/>
        </w:rPr>
      </w:pPr>
      <w:r>
        <w:rPr>
          <w:sz w:val="24"/>
          <w:szCs w:val="24"/>
        </w:rPr>
        <w:t>The “Bandwidth” of</w:t>
      </w:r>
      <w:r w:rsidRPr="004674D2">
        <w:rPr>
          <w:sz w:val="24"/>
          <w:szCs w:val="24"/>
        </w:rPr>
        <w:t xml:space="preserve"> </w:t>
      </w:r>
      <w:r>
        <w:rPr>
          <w:sz w:val="24"/>
          <w:szCs w:val="24"/>
        </w:rPr>
        <w:t xml:space="preserve">density connection in </w:t>
      </w:r>
      <w:r w:rsidRPr="004674D2">
        <w:rPr>
          <w:sz w:val="24"/>
          <w:szCs w:val="24"/>
        </w:rPr>
        <w:t xml:space="preserve">evaluation report </w:t>
      </w:r>
      <w:r w:rsidR="009F08E4">
        <w:rPr>
          <w:sz w:val="24"/>
          <w:szCs w:val="24"/>
        </w:rPr>
        <w:t>c</w:t>
      </w:r>
      <w:r w:rsidR="00796B7E" w:rsidRPr="004674D2">
        <w:rPr>
          <w:sz w:val="24"/>
          <w:szCs w:val="24"/>
        </w:rPr>
        <w:t>an set to “Bandwidth of resource unit”</w:t>
      </w:r>
      <w:r w:rsidR="008A29FE" w:rsidRPr="004674D2">
        <w:rPr>
          <w:sz w:val="24"/>
          <w:szCs w:val="24"/>
        </w:rPr>
        <w:t xml:space="preserve"> for better clarification.</w:t>
      </w:r>
    </w:p>
    <w:p w:rsidR="00D43265" w:rsidRPr="004674D2" w:rsidRDefault="00D43265" w:rsidP="00CA19FF">
      <w:pPr>
        <w:pStyle w:val="ListParagraph"/>
        <w:numPr>
          <w:ilvl w:val="0"/>
          <w:numId w:val="1"/>
        </w:numPr>
        <w:ind w:firstLineChars="0"/>
        <w:rPr>
          <w:b/>
          <w:bCs/>
          <w:sz w:val="24"/>
          <w:szCs w:val="24"/>
        </w:rPr>
      </w:pPr>
      <w:r w:rsidRPr="004674D2">
        <w:rPr>
          <w:rFonts w:hint="eastAsia"/>
          <w:b/>
          <w:bCs/>
          <w:sz w:val="24"/>
          <w:szCs w:val="24"/>
        </w:rPr>
        <w:t>T</w:t>
      </w:r>
      <w:r w:rsidRPr="004674D2">
        <w:rPr>
          <w:b/>
          <w:bCs/>
          <w:sz w:val="24"/>
          <w:szCs w:val="24"/>
        </w:rPr>
        <w:t>here is not exact value for maximum transmit power of base station. There is concern that whether the technology can support the maximum transmit power which is applied in evaluation report</w:t>
      </w:r>
    </w:p>
    <w:p w:rsidR="009F08E4" w:rsidRDefault="00E82393" w:rsidP="004207E6">
      <w:pPr>
        <w:pStyle w:val="ListParagraph"/>
        <w:ind w:left="360" w:firstLineChars="0" w:firstLine="0"/>
        <w:rPr>
          <w:sz w:val="24"/>
          <w:szCs w:val="24"/>
        </w:rPr>
      </w:pPr>
      <w:r w:rsidRPr="004674D2">
        <w:rPr>
          <w:rFonts w:hint="eastAsia"/>
          <w:sz w:val="24"/>
          <w:szCs w:val="24"/>
        </w:rPr>
        <w:t>T</w:t>
      </w:r>
      <w:r w:rsidRPr="004674D2">
        <w:rPr>
          <w:sz w:val="24"/>
          <w:szCs w:val="24"/>
        </w:rPr>
        <w:t xml:space="preserve">here is no limit on the maximum transmit power of base station in EUHT RIT. </w:t>
      </w:r>
      <w:r w:rsidR="00AF357E" w:rsidRPr="004674D2">
        <w:rPr>
          <w:sz w:val="24"/>
          <w:szCs w:val="24"/>
        </w:rPr>
        <w:t>In the evaluation report for EUHT RIT, the transmit power value of base station comp</w:t>
      </w:r>
      <w:r w:rsidR="009524DB" w:rsidRPr="004674D2">
        <w:rPr>
          <w:sz w:val="24"/>
          <w:szCs w:val="24"/>
        </w:rPr>
        <w:t>l</w:t>
      </w:r>
      <w:r w:rsidR="00F62CA4">
        <w:rPr>
          <w:sz w:val="24"/>
          <w:szCs w:val="24"/>
        </w:rPr>
        <w:t>ies</w:t>
      </w:r>
      <w:r w:rsidR="00AF357E" w:rsidRPr="004674D2">
        <w:rPr>
          <w:sz w:val="24"/>
          <w:szCs w:val="24"/>
        </w:rPr>
        <w:t xml:space="preserve"> with M.2412, which is </w:t>
      </w:r>
      <w:r w:rsidR="009524DB" w:rsidRPr="004674D2">
        <w:rPr>
          <w:sz w:val="24"/>
          <w:szCs w:val="24"/>
        </w:rPr>
        <w:t xml:space="preserve">the requirement </w:t>
      </w:r>
      <w:r w:rsidR="0047183C">
        <w:rPr>
          <w:sz w:val="24"/>
          <w:szCs w:val="24"/>
        </w:rPr>
        <w:t>for</w:t>
      </w:r>
      <w:r w:rsidR="009524DB" w:rsidRPr="004674D2">
        <w:rPr>
          <w:sz w:val="24"/>
          <w:szCs w:val="24"/>
        </w:rPr>
        <w:t xml:space="preserve"> </w:t>
      </w:r>
      <w:r w:rsidR="004674D2">
        <w:rPr>
          <w:sz w:val="24"/>
          <w:szCs w:val="24"/>
        </w:rPr>
        <w:t>submission.</w:t>
      </w:r>
      <w:r w:rsidR="00E04B63" w:rsidRPr="00E04B63">
        <w:rPr>
          <w:sz w:val="24"/>
          <w:szCs w:val="24"/>
        </w:rPr>
        <w:t xml:space="preserve"> </w:t>
      </w:r>
      <w:r w:rsidR="004E75A5">
        <w:rPr>
          <w:sz w:val="24"/>
          <w:szCs w:val="24"/>
        </w:rPr>
        <w:t xml:space="preserve">EUHT can support the </w:t>
      </w:r>
      <w:r w:rsidR="004E75A5" w:rsidRPr="004674D2">
        <w:rPr>
          <w:sz w:val="24"/>
          <w:szCs w:val="24"/>
        </w:rPr>
        <w:t>transmit power value</w:t>
      </w:r>
      <w:r w:rsidR="004E75A5">
        <w:rPr>
          <w:sz w:val="24"/>
          <w:szCs w:val="24"/>
        </w:rPr>
        <w:t xml:space="preserve"> given in M.2412.</w:t>
      </w:r>
    </w:p>
    <w:p w:rsidR="008939F3" w:rsidRPr="004207E6" w:rsidRDefault="00E04B63" w:rsidP="004207E6">
      <w:pPr>
        <w:pStyle w:val="ListParagraph"/>
        <w:ind w:left="360" w:firstLineChars="0" w:firstLine="0"/>
        <w:rPr>
          <w:sz w:val="24"/>
          <w:szCs w:val="24"/>
        </w:rPr>
      </w:pPr>
      <w:r w:rsidRPr="004674D2">
        <w:rPr>
          <w:sz w:val="24"/>
          <w:szCs w:val="24"/>
        </w:rPr>
        <w:t>The possible limit on the maximum transmit power of base station is from the regional regulatory requirements.</w:t>
      </w:r>
      <w:r w:rsidR="00D9197E">
        <w:rPr>
          <w:sz w:val="24"/>
          <w:szCs w:val="24"/>
        </w:rPr>
        <w:t xml:space="preserve"> </w:t>
      </w:r>
    </w:p>
    <w:sectPr w:rsidR="008939F3" w:rsidRPr="004207E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02973" w:rsidRDefault="00702973" w:rsidP="00F865DE">
      <w:r>
        <w:separator/>
      </w:r>
    </w:p>
  </w:endnote>
  <w:endnote w:type="continuationSeparator" w:id="0">
    <w:p w:rsidR="00702973" w:rsidRDefault="00702973" w:rsidP="00F865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DengXian">
    <w:altName w:val="SimSu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Microsoft YaHei"/>
    <w:charset w:val="86"/>
    <w:family w:val="auto"/>
    <w:pitch w:val="variable"/>
    <w:sig w:usb0="00000000"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02973" w:rsidRDefault="00702973" w:rsidP="00F865DE">
      <w:r>
        <w:separator/>
      </w:r>
    </w:p>
  </w:footnote>
  <w:footnote w:type="continuationSeparator" w:id="0">
    <w:p w:rsidR="00702973" w:rsidRDefault="00702973" w:rsidP="00F865D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40DA8"/>
    <w:multiLevelType w:val="hybridMultilevel"/>
    <w:tmpl w:val="669040F6"/>
    <w:lvl w:ilvl="0" w:tplc="F1B444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0C85"/>
    <w:rsid w:val="0001217E"/>
    <w:rsid w:val="0006753F"/>
    <w:rsid w:val="00092AD3"/>
    <w:rsid w:val="000C1E49"/>
    <w:rsid w:val="00115041"/>
    <w:rsid w:val="001911DC"/>
    <w:rsid w:val="001B0C85"/>
    <w:rsid w:val="00260664"/>
    <w:rsid w:val="00365C9D"/>
    <w:rsid w:val="0036679B"/>
    <w:rsid w:val="003908FF"/>
    <w:rsid w:val="004207E6"/>
    <w:rsid w:val="00425473"/>
    <w:rsid w:val="0046267F"/>
    <w:rsid w:val="004674D2"/>
    <w:rsid w:val="0047183C"/>
    <w:rsid w:val="004A013B"/>
    <w:rsid w:val="004E75A5"/>
    <w:rsid w:val="00515CE9"/>
    <w:rsid w:val="00573E50"/>
    <w:rsid w:val="005C6B48"/>
    <w:rsid w:val="005F415F"/>
    <w:rsid w:val="005F5AA3"/>
    <w:rsid w:val="006578C1"/>
    <w:rsid w:val="00664CA1"/>
    <w:rsid w:val="006D3C0A"/>
    <w:rsid w:val="00702973"/>
    <w:rsid w:val="00796B7E"/>
    <w:rsid w:val="007B57B2"/>
    <w:rsid w:val="008339A8"/>
    <w:rsid w:val="00891984"/>
    <w:rsid w:val="008939F3"/>
    <w:rsid w:val="008A29FE"/>
    <w:rsid w:val="00911A26"/>
    <w:rsid w:val="009524DB"/>
    <w:rsid w:val="00982272"/>
    <w:rsid w:val="00994398"/>
    <w:rsid w:val="009B5F54"/>
    <w:rsid w:val="009C7B30"/>
    <w:rsid w:val="009D7581"/>
    <w:rsid w:val="009D781F"/>
    <w:rsid w:val="009F08E4"/>
    <w:rsid w:val="00A23DBC"/>
    <w:rsid w:val="00A33387"/>
    <w:rsid w:val="00AA6E66"/>
    <w:rsid w:val="00AF357E"/>
    <w:rsid w:val="00B60EC5"/>
    <w:rsid w:val="00C24A37"/>
    <w:rsid w:val="00C633A9"/>
    <w:rsid w:val="00CA19FF"/>
    <w:rsid w:val="00D43265"/>
    <w:rsid w:val="00D9197E"/>
    <w:rsid w:val="00DA49FE"/>
    <w:rsid w:val="00DC1604"/>
    <w:rsid w:val="00E02E10"/>
    <w:rsid w:val="00E04B63"/>
    <w:rsid w:val="00E15654"/>
    <w:rsid w:val="00E37AB1"/>
    <w:rsid w:val="00E82393"/>
    <w:rsid w:val="00EA1AAD"/>
    <w:rsid w:val="00EB6ABE"/>
    <w:rsid w:val="00ED018E"/>
    <w:rsid w:val="00F079BA"/>
    <w:rsid w:val="00F62CA4"/>
    <w:rsid w:val="00F76A57"/>
    <w:rsid w:val="00F8001C"/>
    <w:rsid w:val="00F865DE"/>
    <w:rsid w:val="00FC7222"/>
    <w:rsid w:val="00FC77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4C99A79-1815-4768-AAA7-54B24E6A2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65DE"/>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F865DE"/>
    <w:rPr>
      <w:sz w:val="18"/>
      <w:szCs w:val="18"/>
    </w:rPr>
  </w:style>
  <w:style w:type="paragraph" w:styleId="Footer">
    <w:name w:val="footer"/>
    <w:basedOn w:val="Normal"/>
    <w:link w:val="FooterChar"/>
    <w:uiPriority w:val="99"/>
    <w:unhideWhenUsed/>
    <w:rsid w:val="00F865DE"/>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F865DE"/>
    <w:rPr>
      <w:sz w:val="18"/>
      <w:szCs w:val="18"/>
    </w:rPr>
  </w:style>
  <w:style w:type="paragraph" w:customStyle="1" w:styleId="Tablehead">
    <w:name w:val="Table_head"/>
    <w:basedOn w:val="Normal"/>
    <w:next w:val="Normal"/>
    <w:link w:val="TableheadChar"/>
    <w:rsid w:val="00F865DE"/>
    <w:pPr>
      <w:keepNext/>
      <w:widowControl/>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80" w:after="80"/>
      <w:jc w:val="center"/>
      <w:textAlignment w:val="baseline"/>
    </w:pPr>
    <w:rPr>
      <w:rFonts w:ascii="Times New Roman" w:hAnsi="Times New Roman" w:cs="Times New Roman"/>
      <w:b/>
      <w:kern w:val="0"/>
      <w:sz w:val="22"/>
      <w:szCs w:val="20"/>
      <w:lang w:val="fr-FR" w:eastAsia="en-US"/>
    </w:rPr>
  </w:style>
  <w:style w:type="paragraph" w:customStyle="1" w:styleId="Tabletext">
    <w:name w:val="Table_text"/>
    <w:basedOn w:val="Normal"/>
    <w:link w:val="TabletextChar"/>
    <w:rsid w:val="00F865DE"/>
    <w:pPr>
      <w:widowControl/>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40" w:after="40"/>
      <w:textAlignment w:val="baseline"/>
    </w:pPr>
    <w:rPr>
      <w:rFonts w:ascii="Times New Roman" w:hAnsi="Times New Roman" w:cs="Times New Roman"/>
      <w:kern w:val="0"/>
      <w:sz w:val="22"/>
      <w:szCs w:val="20"/>
      <w:lang w:val="fr-FR" w:eastAsia="en-US"/>
    </w:rPr>
  </w:style>
  <w:style w:type="character" w:customStyle="1" w:styleId="TableheadChar">
    <w:name w:val="Table_head Char"/>
    <w:basedOn w:val="DefaultParagraphFont"/>
    <w:link w:val="Tablehead"/>
    <w:locked/>
    <w:rsid w:val="00F865DE"/>
    <w:rPr>
      <w:rFonts w:ascii="Times New Roman" w:hAnsi="Times New Roman" w:cs="Times New Roman"/>
      <w:b/>
      <w:kern w:val="0"/>
      <w:sz w:val="22"/>
      <w:szCs w:val="20"/>
      <w:lang w:val="fr-FR" w:eastAsia="en-US"/>
    </w:rPr>
  </w:style>
  <w:style w:type="character" w:customStyle="1" w:styleId="TabletextChar">
    <w:name w:val="Table_text Char"/>
    <w:basedOn w:val="DefaultParagraphFont"/>
    <w:link w:val="Tabletext"/>
    <w:locked/>
    <w:rsid w:val="00F865DE"/>
    <w:rPr>
      <w:rFonts w:ascii="Times New Roman" w:hAnsi="Times New Roman" w:cs="Times New Roman"/>
      <w:kern w:val="0"/>
      <w:sz w:val="22"/>
      <w:szCs w:val="20"/>
      <w:lang w:val="fr-FR" w:eastAsia="en-US"/>
    </w:rPr>
  </w:style>
  <w:style w:type="paragraph" w:customStyle="1" w:styleId="enumlev2">
    <w:name w:val="enumlev2"/>
    <w:basedOn w:val="Normal"/>
    <w:uiPriority w:val="99"/>
    <w:qFormat/>
    <w:rsid w:val="00F079BA"/>
    <w:pPr>
      <w:widowControl/>
      <w:tabs>
        <w:tab w:val="left" w:pos="794"/>
        <w:tab w:val="left" w:pos="1191"/>
        <w:tab w:val="left" w:pos="1588"/>
        <w:tab w:val="left" w:pos="1985"/>
      </w:tabs>
      <w:overflowPunct w:val="0"/>
      <w:autoSpaceDE w:val="0"/>
      <w:autoSpaceDN w:val="0"/>
      <w:adjustRightInd w:val="0"/>
      <w:spacing w:before="80"/>
      <w:ind w:left="1191" w:hanging="397"/>
    </w:pPr>
    <w:rPr>
      <w:rFonts w:ascii="Times New Roman" w:hAnsi="Times New Roman" w:cs="Times New Roman"/>
      <w:kern w:val="0"/>
      <w:sz w:val="24"/>
      <w:szCs w:val="20"/>
      <w:lang w:val="fr-FR" w:eastAsia="en-US"/>
    </w:rPr>
  </w:style>
  <w:style w:type="paragraph" w:customStyle="1" w:styleId="TAH">
    <w:name w:val="TAH"/>
    <w:basedOn w:val="Normal"/>
    <w:link w:val="TAHCar"/>
    <w:qFormat/>
    <w:rsid w:val="00F079BA"/>
    <w:pPr>
      <w:keepNext/>
      <w:keepLines/>
      <w:widowControl/>
      <w:overflowPunct w:val="0"/>
      <w:autoSpaceDE w:val="0"/>
      <w:autoSpaceDN w:val="0"/>
      <w:adjustRightInd w:val="0"/>
      <w:jc w:val="center"/>
      <w:textAlignment w:val="baseline"/>
    </w:pPr>
    <w:rPr>
      <w:rFonts w:ascii="Arial" w:eastAsia="MS Mincho" w:hAnsi="Arial" w:cs="Times New Roman"/>
      <w:b/>
      <w:kern w:val="0"/>
      <w:sz w:val="18"/>
      <w:szCs w:val="20"/>
      <w:lang w:eastAsia="en-US"/>
    </w:rPr>
  </w:style>
  <w:style w:type="paragraph" w:customStyle="1" w:styleId="TAC">
    <w:name w:val="TAC"/>
    <w:basedOn w:val="Normal"/>
    <w:link w:val="TACChar"/>
    <w:qFormat/>
    <w:rsid w:val="00F079BA"/>
    <w:pPr>
      <w:keepNext/>
      <w:keepLines/>
      <w:widowControl/>
      <w:overflowPunct w:val="0"/>
      <w:autoSpaceDE w:val="0"/>
      <w:autoSpaceDN w:val="0"/>
      <w:adjustRightInd w:val="0"/>
      <w:jc w:val="center"/>
      <w:textAlignment w:val="baseline"/>
    </w:pPr>
    <w:rPr>
      <w:rFonts w:ascii="Arial" w:eastAsia="Times New Roman" w:hAnsi="Arial" w:cs="Times New Roman"/>
      <w:kern w:val="0"/>
      <w:sz w:val="18"/>
      <w:szCs w:val="20"/>
      <w:lang w:eastAsia="en-US"/>
    </w:rPr>
  </w:style>
  <w:style w:type="character" w:customStyle="1" w:styleId="TAHCar">
    <w:name w:val="TAH Car"/>
    <w:link w:val="TAH"/>
    <w:qFormat/>
    <w:rsid w:val="00F079BA"/>
    <w:rPr>
      <w:rFonts w:ascii="Arial" w:eastAsia="MS Mincho" w:hAnsi="Arial" w:cs="Times New Roman"/>
      <w:b/>
      <w:kern w:val="0"/>
      <w:sz w:val="18"/>
      <w:szCs w:val="20"/>
      <w:lang w:eastAsia="en-US"/>
    </w:rPr>
  </w:style>
  <w:style w:type="character" w:customStyle="1" w:styleId="TACChar">
    <w:name w:val="TAC Char"/>
    <w:link w:val="TAC"/>
    <w:qFormat/>
    <w:rsid w:val="00F079BA"/>
    <w:rPr>
      <w:rFonts w:ascii="Arial" w:eastAsia="Times New Roman" w:hAnsi="Arial" w:cs="Times New Roman"/>
      <w:kern w:val="0"/>
      <w:sz w:val="18"/>
      <w:szCs w:val="20"/>
      <w:lang w:eastAsia="en-US"/>
    </w:rPr>
  </w:style>
  <w:style w:type="paragraph" w:styleId="ListParagraph">
    <w:name w:val="List Paragraph"/>
    <w:basedOn w:val="Normal"/>
    <w:uiPriority w:val="34"/>
    <w:qFormat/>
    <w:rsid w:val="00CA19FF"/>
    <w:pPr>
      <w:ind w:firstLineChars="200" w:firstLine="420"/>
    </w:pPr>
  </w:style>
  <w:style w:type="character" w:styleId="Hyperlink">
    <w:name w:val="Hyperlink"/>
    <w:basedOn w:val="DefaultParagraphFont"/>
    <w:uiPriority w:val="99"/>
    <w:unhideWhenUsed/>
    <w:rsid w:val="008339A8"/>
    <w:rPr>
      <w:color w:val="0563C1" w:themeColor="hyperlink"/>
      <w:u w:val="single"/>
    </w:rPr>
  </w:style>
  <w:style w:type="character" w:customStyle="1" w:styleId="UnresolvedMention">
    <w:name w:val="Unresolved Mention"/>
    <w:basedOn w:val="DefaultParagraphFont"/>
    <w:uiPriority w:val="99"/>
    <w:semiHidden/>
    <w:unhideWhenUsed/>
    <w:rsid w:val="008339A8"/>
    <w:rPr>
      <w:color w:val="605E5C"/>
      <w:shd w:val="clear" w:color="auto" w:fill="E1DFDD"/>
    </w:rPr>
  </w:style>
  <w:style w:type="paragraph" w:customStyle="1" w:styleId="Default">
    <w:name w:val="Default"/>
    <w:rsid w:val="00F8001C"/>
    <w:pPr>
      <w:widowControl w:val="0"/>
      <w:autoSpaceDE w:val="0"/>
      <w:autoSpaceDN w:val="0"/>
      <w:adjustRightInd w:val="0"/>
    </w:pPr>
    <w:rPr>
      <w:rFonts w:ascii="Times New Roman" w:hAnsi="Times New Roman" w:cs="Times New Roman"/>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518774">
      <w:bodyDiv w:val="1"/>
      <w:marLeft w:val="0"/>
      <w:marRight w:val="0"/>
      <w:marTop w:val="0"/>
      <w:marBottom w:val="0"/>
      <w:divBdr>
        <w:top w:val="none" w:sz="0" w:space="0" w:color="auto"/>
        <w:left w:val="none" w:sz="0" w:space="0" w:color="auto"/>
        <w:bottom w:val="none" w:sz="0" w:space="0" w:color="auto"/>
        <w:right w:val="none" w:sz="0" w:space="0" w:color="auto"/>
      </w:divBdr>
    </w:div>
    <w:div w:id="866871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www.nufront.com/en/uploadfile/2019/Enhanced%20Ultra%20High%20Throughput%20(EUHT)%20Technology%20Specification.pdf" TargetMode="Externa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Comments xmlns="4c6a61cb-1973-4fc6-92ae-f4d7a4471404"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570B5F7808D304AAB7669FEC90DDD2D" ma:contentTypeVersion="2" ma:contentTypeDescription="Create a new document." ma:contentTypeScope="" ma:versionID="17042cf859d7896bf7fa026e36918208">
  <xsd:schema xmlns:xsd="http://www.w3.org/2001/XMLSchema" xmlns:xs="http://www.w3.org/2001/XMLSchema" xmlns:p="http://schemas.microsoft.com/office/2006/metadata/properties" xmlns:ns2="4c6a61cb-1973-4fc6-92ae-f4d7a4471404" xmlns:ns3="7b8725ac-81b5-4cc8-b0ab-2e56fe620759" targetNamespace="http://schemas.microsoft.com/office/2006/metadata/properties" ma:root="true" ma:fieldsID="2ad575b970d8f19294ca4e9415c4880a" ns2:_="" ns3:_="">
    <xsd:import namespace="4c6a61cb-1973-4fc6-92ae-f4d7a4471404"/>
    <xsd:import namespace="7b8725ac-81b5-4cc8-b0ab-2e56fe620759"/>
    <xsd:element name="properties">
      <xsd:complexType>
        <xsd:sequence>
          <xsd:element name="documentManagement">
            <xsd:complexType>
              <xsd:all>
                <xsd:element ref="ns2:Comments" minOccurs="0"/>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6a61cb-1973-4fc6-92ae-f4d7a4471404" elementFormDefault="qualified">
    <xsd:import namespace="http://schemas.microsoft.com/office/2006/documentManagement/types"/>
    <xsd:import namespace="http://schemas.microsoft.com/office/infopath/2007/PartnerControls"/>
    <xsd:element name="Comments" ma:index="8" nillable="true" ma:displayName="Comments" ma:internalName="Comment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b8725ac-81b5-4cc8-b0ab-2e56fe620759"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87F717F-FBB3-4A56-BDF5-DAF126CE454F}">
  <ds:schemaRefs>
    <ds:schemaRef ds:uri="http://schemas.microsoft.com/office/2006/metadata/properties"/>
    <ds:schemaRef ds:uri="http://schemas.microsoft.com/office/infopath/2007/PartnerControls"/>
    <ds:schemaRef ds:uri="4c6a61cb-1973-4fc6-92ae-f4d7a4471404"/>
  </ds:schemaRefs>
</ds:datastoreItem>
</file>

<file path=customXml/itemProps2.xml><?xml version="1.0" encoding="utf-8"?>
<ds:datastoreItem xmlns:ds="http://schemas.openxmlformats.org/officeDocument/2006/customXml" ds:itemID="{AD20767E-2D2E-4791-9EF9-D6FCADED6C73}">
  <ds:schemaRefs>
    <ds:schemaRef ds:uri="http://schemas.microsoft.com/sharepoint/v3/contenttype/forms"/>
  </ds:schemaRefs>
</ds:datastoreItem>
</file>

<file path=customXml/itemProps3.xml><?xml version="1.0" encoding="utf-8"?>
<ds:datastoreItem xmlns:ds="http://schemas.openxmlformats.org/officeDocument/2006/customXml" ds:itemID="{A1DDCE86-0372-4FB5-9F78-6F9638D211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c6a61cb-1973-4fc6-92ae-f4d7a4471404"/>
    <ds:schemaRef ds:uri="7b8725ac-81b5-4cc8-b0ab-2e56fe6207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454</Words>
  <Characters>2589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 lei</dc:creator>
  <cp:keywords/>
  <dc:description/>
  <cp:lastModifiedBy>Soto Romero, Alicia</cp:lastModifiedBy>
  <cp:revision>1</cp:revision>
  <dcterms:created xsi:type="dcterms:W3CDTF">2019-12-16T14:26:00Z</dcterms:created>
  <dcterms:modified xsi:type="dcterms:W3CDTF">2019-12-16T14:26:00Z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0x010100C570B5F7808D304AAB7669FEC90DDD2D</vt:lpwstr>
  </property>
</Properties>
</file>