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Multi-Layered Patient/Member 360 &amp; Clinical/Regulatory Intelligence Copilot: Architectural Framework, Algorithmic Engine, and Commercial Optimization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Multi-Echelon Commercial Persona &amp; Enterprise Decision Matrix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commercialization within the biopharmaceutical industry requires an architectural foundation that synthesizes longitudinal real-world health data with regulatory, pharmacological, and clinical trial evidence. Historical paradigms fail because commercial operations, market access teams, and brand leadership operate in functional silos, relying on fragmented prescription datasets that lack clinical context and regulatory provenance. This platform establishes an integrated multi-layered patient and member intelligence network, aligning macro-level strategic portfolio decisions down to micro-level point-of-care clinical interactions while enforcing statutory compliance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and Brand Leadership: Macro-Brand Optimization and Resource Strategy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leadership—encompassing Vice Presidents of Commercial Operations, Franchise Heads, and Global Brand Directors—governs brand performance across national and regional therapeutic markets. Decision-making at this echelon focuses on optimizing capital allocation across approved indications, defending market share against competitive therapeutic basket entrants, and mitigating funnel abandonment through targeted patient-support initiatives.</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Macro-Level Brand Performance Dynamics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brand trajectory requires decoupling gross demand signals from fulfilled therapy volumes. The platform continuously monitors total prescriptions (TRx) alongside new-to-brand prescriptions (NBRx) across rolling seven-day, thirty-day, and ninety-day horizons. The mathematical ratio of new-to-brand adoption relative to total maintenance volume serves as a leading indicator of organic brand momentum: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0065"/>
            <wp:effectExtent b="0" l="0" r="0" t="0"/>
            <wp:docPr id="140"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5905500" cy="8300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decay in </w:t>
      </w:r>
      <w:r w:rsidDel="00000000" w:rsidR="00000000" w:rsidRPr="00000000">
        <w:rPr>
          <w:rFonts w:ascii="Google Sans" w:cs="Google Sans" w:eastAsia="Google Sans" w:hAnsi="Google Sans"/>
          <w:color w:val="1f1f1f"/>
        </w:rPr>
        <w:drawing>
          <wp:inline distB="19050" distT="19050" distL="19050" distR="19050">
            <wp:extent cx="685562" cy="243755"/>
            <wp:effectExtent b="0" l="0" r="0" t="0"/>
            <wp:docPr id="142" name="image107.png"/>
            <a:graphic>
              <a:graphicData uri="http://schemas.openxmlformats.org/drawingml/2006/picture">
                <pic:pic>
                  <pic:nvPicPr>
                    <pic:cNvPr id="0" name="image107.png"/>
                    <pic:cNvPicPr preferRelativeResize="0"/>
                  </pic:nvPicPr>
                  <pic:blipFill>
                    <a:blip r:embed="rId7"/>
                    <a:srcRect b="0" l="0" r="0" t="0"/>
                    <a:stretch>
                      <a:fillRect/>
                    </a:stretch>
                  </pic:blipFill>
                  <pic:spPr>
                    <a:xfrm>
                      <a:off x="0" y="0"/>
                      <a:ext cx="685562" cy="243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market maturation or aggressive competitor detailing, signaling the need for commercial field reallocation or direct-to-consumer realignment.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share trajectories are derived within therapeutic baskets by calculating dynamic entity cross-walks that normalize drug formulations, dosages, and administration routes. Concurrently, brand switching dynamics are modeled as a continuous-time Markov process. Given state space </w:t>
      </w:r>
      <w:r w:rsidDel="00000000" w:rsidR="00000000" w:rsidRPr="00000000">
        <w:rPr>
          <w:rFonts w:ascii="Google Sans" w:cs="Google Sans" w:eastAsia="Google Sans" w:hAnsi="Google Sans"/>
          <w:color w:val="1f1f1f"/>
        </w:rPr>
        <w:drawing>
          <wp:inline distB="19050" distT="19050" distL="19050" distR="19050">
            <wp:extent cx="1680810" cy="244481"/>
            <wp:effectExtent b="0" l="0" r="0" t="0"/>
            <wp:docPr id="141"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1680810" cy="244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competing molecules within an indication, the transition probability matrix </w:t>
      </w:r>
      <w:r w:rsidDel="00000000" w:rsidR="00000000" w:rsidRPr="00000000">
        <w:rPr>
          <w:rFonts w:ascii="Google Sans" w:cs="Google Sans" w:eastAsia="Google Sans" w:hAnsi="Google Sans"/>
          <w:color w:val="1f1f1f"/>
        </w:rPr>
        <w:drawing>
          <wp:inline distB="19050" distT="19050" distL="19050" distR="19050">
            <wp:extent cx="1217409" cy="243482"/>
            <wp:effectExtent b="0" l="0" r="0" t="0"/>
            <wp:docPr id="144" name="image122.png"/>
            <a:graphic>
              <a:graphicData uri="http://schemas.openxmlformats.org/drawingml/2006/picture">
                <pic:pic>
                  <pic:nvPicPr>
                    <pic:cNvPr id="0" name="image122.png"/>
                    <pic:cNvPicPr preferRelativeResize="0"/>
                  </pic:nvPicPr>
                  <pic:blipFill>
                    <a:blip r:embed="rId9"/>
                    <a:srcRect b="0" l="0" r="0" t="0"/>
                    <a:stretch>
                      <a:fillRect/>
                    </a:stretch>
                  </pic:blipFill>
                  <pic:spPr>
                    <a:xfrm>
                      <a:off x="0" y="0"/>
                      <a:ext cx="1217409" cy="243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characterizes the probability that a patient transitioning off therapeutic agent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4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initiates therapy on molecule </w:t>
      </w:r>
      <w:r w:rsidDel="00000000" w:rsidR="00000000" w:rsidRPr="00000000">
        <w:rPr>
          <w:rFonts w:ascii="Google Sans" w:cs="Google Sans" w:eastAsia="Google Sans" w:hAnsi="Google Sans"/>
          <w:color w:val="1f1f1f"/>
        </w:rPr>
        <w:drawing>
          <wp:inline distB="19050" distT="19050" distL="19050" distR="19050">
            <wp:extent cx="91916" cy="245110"/>
            <wp:effectExtent b="0" l="0" r="0" t="0"/>
            <wp:docPr id="146"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91916" cy="245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time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145"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4628"/>
            <wp:effectExtent b="0" l="0" r="0" t="0"/>
            <wp:docPr id="148" name="image112.png"/>
            <a:graphic>
              <a:graphicData uri="http://schemas.openxmlformats.org/drawingml/2006/picture">
                <pic:pic>
                  <pic:nvPicPr>
                    <pic:cNvPr id="0" name="image112.png"/>
                    <pic:cNvPicPr preferRelativeResize="0"/>
                  </pic:nvPicPr>
                  <pic:blipFill>
                    <a:blip r:embed="rId13"/>
                    <a:srcRect b="0" l="0" r="0" t="0"/>
                    <a:stretch>
                      <a:fillRect/>
                    </a:stretch>
                  </pic:blipFill>
                  <pic:spPr>
                    <a:xfrm>
                      <a:off x="0" y="0"/>
                      <a:ext cx="5905500" cy="61462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Therapy abandonment and patient leakage are measured across sequential treatment milestones: initial prescription authoring (</w:t>
      </w:r>
      <w:r w:rsidDel="00000000" w:rsidR="00000000" w:rsidRPr="00000000">
        <w:rPr>
          <w:rFonts w:ascii="Google Sans" w:cs="Google Sans" w:eastAsia="Google Sans" w:hAnsi="Google Sans"/>
          <w:color w:val="1f1f1f"/>
        </w:rPr>
        <w:drawing>
          <wp:inline distB="19050" distT="19050" distL="19050" distR="19050">
            <wp:extent cx="149185" cy="238697"/>
            <wp:effectExtent b="0" l="0" r="0" t="0"/>
            <wp:docPr id="147" name="image116.png"/>
            <a:graphic>
              <a:graphicData uri="http://schemas.openxmlformats.org/drawingml/2006/picture">
                <pic:pic>
                  <pic:nvPicPr>
                    <pic:cNvPr id="0" name="image116.png"/>
                    <pic:cNvPicPr preferRelativeResize="0"/>
                  </pic:nvPicPr>
                  <pic:blipFill>
                    <a:blip r:embed="rId14"/>
                    <a:srcRect b="0" l="0" r="0" t="0"/>
                    <a:stretch>
                      <a:fillRect/>
                    </a:stretch>
                  </pic:blipFill>
                  <pic:spPr>
                    <a:xfrm>
                      <a:off x="0" y="0"/>
                      <a:ext cx="149185" cy="238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clearinghouse benefit adjudication (</w:t>
      </w:r>
      <w:r w:rsidDel="00000000" w:rsidR="00000000" w:rsidRPr="00000000">
        <w:rPr>
          <w:rFonts w:ascii="Google Sans" w:cs="Google Sans" w:eastAsia="Google Sans" w:hAnsi="Google Sans"/>
          <w:color w:val="1f1f1f"/>
        </w:rPr>
        <w:drawing>
          <wp:inline distB="19050" distT="19050" distL="19050" distR="19050">
            <wp:extent cx="149185" cy="238697"/>
            <wp:effectExtent b="0" l="0" r="0" t="0"/>
            <wp:docPr id="151" name="image106.png"/>
            <a:graphic>
              <a:graphicData uri="http://schemas.openxmlformats.org/drawingml/2006/picture">
                <pic:pic>
                  <pic:nvPicPr>
                    <pic:cNvPr id="0" name="image106.png"/>
                    <pic:cNvPicPr preferRelativeResize="0"/>
                  </pic:nvPicPr>
                  <pic:blipFill>
                    <a:blip r:embed="rId15"/>
                    <a:srcRect b="0" l="0" r="0" t="0"/>
                    <a:stretch>
                      <a:fillRect/>
                    </a:stretch>
                  </pic:blipFill>
                  <pic:spPr>
                    <a:xfrm>
                      <a:off x="0" y="0"/>
                      <a:ext cx="149185" cy="238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prior authorization submission (</w:t>
      </w:r>
      <w:r w:rsidDel="00000000" w:rsidR="00000000" w:rsidRPr="00000000">
        <w:rPr>
          <w:rFonts w:ascii="Google Sans" w:cs="Google Sans" w:eastAsia="Google Sans" w:hAnsi="Google Sans"/>
          <w:color w:val="1f1f1f"/>
        </w:rPr>
        <w:drawing>
          <wp:inline distB="19050" distT="19050" distL="19050" distR="19050">
            <wp:extent cx="149185" cy="238697"/>
            <wp:effectExtent b="0" l="0" r="0" t="0"/>
            <wp:docPr id="149"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149185" cy="238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copay program processing (</w:t>
      </w:r>
      <w:r w:rsidDel="00000000" w:rsidR="00000000" w:rsidRPr="00000000">
        <w:rPr>
          <w:rFonts w:ascii="Google Sans" w:cs="Google Sans" w:eastAsia="Google Sans" w:hAnsi="Google Sans"/>
          <w:color w:val="1f1f1f"/>
        </w:rPr>
        <w:drawing>
          <wp:inline distB="19050" distT="19050" distL="19050" distR="19050">
            <wp:extent cx="149185" cy="238697"/>
            <wp:effectExtent b="0" l="0" r="0" t="0"/>
            <wp:docPr id="150" name="image119.png"/>
            <a:graphic>
              <a:graphicData uri="http://schemas.openxmlformats.org/drawingml/2006/picture">
                <pic:pic>
                  <pic:nvPicPr>
                    <pic:cNvPr id="0" name="image119.png"/>
                    <pic:cNvPicPr preferRelativeResize="0"/>
                  </pic:nvPicPr>
                  <pic:blipFill>
                    <a:blip r:embed="rId17"/>
                    <a:srcRect b="0" l="0" r="0" t="0"/>
                    <a:stretch>
                      <a:fillRect/>
                    </a:stretch>
                  </pic:blipFill>
                  <pic:spPr>
                    <a:xfrm>
                      <a:off x="0" y="0"/>
                      <a:ext cx="149185" cy="238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initial fulfillment (</w:t>
      </w:r>
      <w:r w:rsidDel="00000000" w:rsidR="00000000" w:rsidRPr="00000000">
        <w:rPr>
          <w:rFonts w:ascii="Google Sans" w:cs="Google Sans" w:eastAsia="Google Sans" w:hAnsi="Google Sans"/>
          <w:color w:val="1f1f1f"/>
        </w:rPr>
        <w:drawing>
          <wp:inline distB="19050" distT="19050" distL="19050" distR="19050">
            <wp:extent cx="149185" cy="238697"/>
            <wp:effectExtent b="0" l="0" r="0" t="0"/>
            <wp:docPr id="152" name="image124.png"/>
            <a:graphic>
              <a:graphicData uri="http://schemas.openxmlformats.org/drawingml/2006/picture">
                <pic:pic>
                  <pic:nvPicPr>
                    <pic:cNvPr id="0" name="image124.png"/>
                    <pic:cNvPicPr preferRelativeResize="0"/>
                  </pic:nvPicPr>
                  <pic:blipFill>
                    <a:blip r:embed="rId18"/>
                    <a:srcRect b="0" l="0" r="0" t="0"/>
                    <a:stretch>
                      <a:fillRect/>
                    </a:stretch>
                  </pic:blipFill>
                  <pic:spPr>
                    <a:xfrm>
                      <a:off x="0" y="0"/>
                      <a:ext cx="149185" cy="238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persistent refill adherence (</w:t>
      </w:r>
      <w:r w:rsidDel="00000000" w:rsidR="00000000" w:rsidRPr="00000000">
        <w:rPr>
          <w:rFonts w:ascii="Google Sans" w:cs="Google Sans" w:eastAsia="Google Sans" w:hAnsi="Google Sans"/>
          <w:color w:val="1f1f1f"/>
        </w:rPr>
        <w:drawing>
          <wp:inline distB="19050" distT="19050" distL="19050" distR="19050">
            <wp:extent cx="392192" cy="246081"/>
            <wp:effectExtent b="0" l="0" r="0" t="0"/>
            <wp:docPr id="153" name="image108.png"/>
            <a:graphic>
              <a:graphicData uri="http://schemas.openxmlformats.org/drawingml/2006/picture">
                <pic:pic>
                  <pic:nvPicPr>
                    <pic:cNvPr id="0" name="image108.png"/>
                    <pic:cNvPicPr preferRelativeResize="0"/>
                  </pic:nvPicPr>
                  <pic:blipFill>
                    <a:blip r:embed="rId19"/>
                    <a:srcRect b="0" l="0" r="0" t="0"/>
                    <a:stretch>
                      <a:fillRect/>
                    </a:stretch>
                  </pic:blipFill>
                  <pic:spPr>
                    <a:xfrm>
                      <a:off x="0" y="0"/>
                      <a:ext cx="392192" cy="246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leakage coefficient at transition step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5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denoted </w:t>
      </w:r>
      <w:r w:rsidDel="00000000" w:rsidR="00000000" w:rsidRPr="00000000">
        <w:rPr>
          <w:rFonts w:ascii="Google Sans" w:cs="Google Sans" w:eastAsia="Google Sans" w:hAnsi="Google Sans"/>
          <w:color w:val="1f1f1f"/>
        </w:rPr>
        <w:drawing>
          <wp:inline distB="19050" distT="19050" distL="19050" distR="19050">
            <wp:extent cx="202287" cy="248969"/>
            <wp:effectExtent b="0" l="0" r="0" t="0"/>
            <wp:docPr id="155"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202287" cy="248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identifies the proportional drop-off attributable to administrative friction, payer denials, or adverse events: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0065"/>
            <wp:effectExtent b="0" l="0" r="0" t="0"/>
            <wp:docPr id="156" name="image117.png"/>
            <a:graphic>
              <a:graphicData uri="http://schemas.openxmlformats.org/drawingml/2006/picture">
                <pic:pic>
                  <pic:nvPicPr>
                    <pic:cNvPr id="0" name="image117.png"/>
                    <pic:cNvPicPr preferRelativeResize="0"/>
                  </pic:nvPicPr>
                  <pic:blipFill>
                    <a:blip r:embed="rId22"/>
                    <a:srcRect b="0" l="0" r="0" t="0"/>
                    <a:stretch>
                      <a:fillRect/>
                    </a:stretch>
                  </pic:blipFill>
                  <pic:spPr>
                    <a:xfrm>
                      <a:off x="0" y="0"/>
                      <a:ext cx="5905500" cy="83006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Allocation, Promotional ROI, and Displaced-Volume Modeling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 deployment across therapeutic indications is optimized using Bayesian media-mix modeling integrated with multi-touch attribution algorithms. The platform isolates the marginal revenue contribution of personal promotional channels (field force detailing, medical education symposia) and non-personal promotions (direct-to-consumer digital campaigns, programmatic clinical display networks).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indication opportunity matrix cross-references real-world epidemiological disease prevalence—extracted from unstructured electronic health record (EHR) progress notes via clinical named-entity recognition—against on-label commercial adoption. This calculation surfaces under-penetrated regional subpopulations suffering from diagnosed but unmanaged conditions. Displaced-volume forecasting applies vector autoregressive frameworks to quantify the precise commercial volume our brand captures when competitor molecules encounter loss-of-exclusivity (LOE) events, formulary tier demotions, or adverse regulatory label updates.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and Business Unit Leadership: Operational Arbitrage and Market Access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commercial leadership, consisting of General Managers (GMs), Assistant General Managers (AGMs), Area Commercial Directors, and Key Account Directors, translates enterprise portfolio strategy into localized execution across heterogeneous healthcare ecosystems.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Territory Alignment and Cross-Territory Arbitrage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commercial ecosystems exhibit wide variations in prescriber density, hospital system integration, and health plan market concentration. The platform executes dynamic territory alignment using constrained spatial-demographic clustering algorithms. Representative workloads are rebalanced by computing travel impedance matrices paired with account-level clinical opportunity vectors: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42738"/>
            <wp:effectExtent b="0" l="0" r="0" t="0"/>
            <wp:docPr id="157" name="image109.png"/>
            <a:graphic>
              <a:graphicData uri="http://schemas.openxmlformats.org/drawingml/2006/picture">
                <pic:pic>
                  <pic:nvPicPr>
                    <pic:cNvPr id="0" name="image109.png"/>
                    <pic:cNvPicPr preferRelativeResize="0"/>
                  </pic:nvPicPr>
                  <pic:blipFill>
                    <a:blip r:embed="rId23"/>
                    <a:srcRect b="0" l="0" r="0" t="0"/>
                    <a:stretch>
                      <a:fillRect/>
                    </a:stretch>
                  </pic:blipFill>
                  <pic:spPr>
                    <a:xfrm>
                      <a:off x="0" y="0"/>
                      <a:ext cx="5905500" cy="8427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749141" cy="244618"/>
            <wp:effectExtent b="0" l="0" r="0" t="0"/>
            <wp:docPr id="158" name="image118.png"/>
            <a:graphic>
              <a:graphicData uri="http://schemas.openxmlformats.org/drawingml/2006/picture">
                <pic:pic>
                  <pic:nvPicPr>
                    <pic:cNvPr id="0" name="image118.png"/>
                    <pic:cNvPicPr preferRelativeResize="0"/>
                  </pic:nvPicPr>
                  <pic:blipFill>
                    <a:blip r:embed="rId24"/>
                    <a:srcRect b="0" l="0" r="0" t="0"/>
                    <a:stretch>
                      <a:fillRect/>
                    </a:stretch>
                  </pic:blipFill>
                  <pic:spPr>
                    <a:xfrm>
                      <a:off x="0" y="0"/>
                      <a:ext cx="749141" cy="244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transit friction, </w:t>
      </w:r>
      <w:r w:rsidDel="00000000" w:rsidR="00000000" w:rsidRPr="00000000">
        <w:rPr>
          <w:rFonts w:ascii="Google Sans" w:cs="Google Sans" w:eastAsia="Google Sans" w:hAnsi="Google Sans"/>
          <w:color w:val="1f1f1f"/>
        </w:rPr>
        <w:drawing>
          <wp:inline distB="19050" distT="19050" distL="19050" distR="19050">
            <wp:extent cx="871180" cy="246706"/>
            <wp:effectExtent b="0" l="0" r="0" t="0"/>
            <wp:docPr id="159" name="image113.png"/>
            <a:graphic>
              <a:graphicData uri="http://schemas.openxmlformats.org/drawingml/2006/picture">
                <pic:pic>
                  <pic:nvPicPr>
                    <pic:cNvPr id="0" name="image113.png"/>
                    <pic:cNvPicPr preferRelativeResize="0"/>
                  </pic:nvPicPr>
                  <pic:blipFill>
                    <a:blip r:embed="rId25"/>
                    <a:srcRect b="0" l="0" r="0" t="0"/>
                    <a:stretch>
                      <a:fillRect/>
                    </a:stretch>
                  </pic:blipFill>
                  <pic:spPr>
                    <a:xfrm>
                      <a:off x="0" y="0"/>
                      <a:ext cx="871180" cy="246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models account-specific detailing duration, and </w:t>
      </w:r>
      <w:r w:rsidDel="00000000" w:rsidR="00000000" w:rsidRPr="00000000">
        <w:rPr>
          <w:rFonts w:ascii="Google Sans" w:cs="Google Sans" w:eastAsia="Google Sans" w:hAnsi="Google Sans"/>
          <w:color w:val="1f1f1f"/>
        </w:rPr>
        <w:drawing>
          <wp:inline distB="19050" distT="19050" distL="19050" distR="19050">
            <wp:extent cx="397907" cy="244866"/>
            <wp:effectExtent b="0" l="0" r="0" t="0"/>
            <wp:docPr id="130" name="image93.png"/>
            <a:graphic>
              <a:graphicData uri="http://schemas.openxmlformats.org/drawingml/2006/picture">
                <pic:pic>
                  <pic:nvPicPr>
                    <pic:cNvPr id="0" name="image93.png"/>
                    <pic:cNvPicPr preferRelativeResize="0"/>
                  </pic:nvPicPr>
                  <pic:blipFill>
                    <a:blip r:embed="rId26"/>
                    <a:srcRect b="0" l="0" r="0" t="0"/>
                    <a:stretch>
                      <a:fillRect/>
                    </a:stretch>
                  </pic:blipFill>
                  <pic:spPr>
                    <a:xfrm>
                      <a:off x="0" y="0"/>
                      <a:ext cx="397907" cy="2448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composite Account Opportunity Index (AOI). Dynamic quota allocation evaluates historical account responsiveness to detailing intensity, establishing empirical conversion velocity curves via survival analysis to model the expected time elapsed between initial commercial detailing visits and first commercial script authoring.</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Payer, PBM, and Market Access Friction Dynamics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pull-through across regional territories is dictated by dynamic pharmacy benefit manager (PBM) formulary designs and regional commercial health plan policies: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Formulary Tier Drag Analysis: Continuous ingestion of regional formulary placement rosters tracks coverage across Tier 1 (generic), Tier 2 (preferred brand), Tier 3 (non-preferred brand), and Tier 4 (specialty). The platform calculates localized tier drag coefficients, quantifying prescription abandonment spikes when patient out-of-pocket copay thresholds exceed fifty dollars per monthly fill.</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Prior Authorization (PA) Denial Diagnostics: Real-time parsing of X12 835 claim payment remittance advice and pharmacy NCPDP reject codes isolates denial patterns. The system segments rejections by specific denial codes (e.g., failure to demonstrate step-therapy progression, missing clinical biomarker documentation, unlisted diagnostic indication), projecting revenue recovery metrics achievable through targeted provider reimbursement support.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Step-Therapy Friction Trajectories: Parametric survival curves map the duration patients remain locked within prerequisite generic or biosimilar regimens before qualifying for target specialty interventions, revealing systemic payer barriers that impede timely clinical escalation.</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Account Management and Health System Penetration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vertical consolidation of community practices into Integrated Delivery Networks (IDNs) and Accountable Care Organizations (ACOs) requires account-level strategic coordination:</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IDN Penetration Topologies: Structural network analysis maps physician-hospital alignment, tracking whether community oncologists, rheumatologists, or dermatologists operate under independent billing numbers or integrated hospital taxonomy codes.</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Institutional Formulary Adoption Tracking: The platform monitors drug progression through hospital Pharmacy and Therapeutics (P&amp;T) committee review cycles, identifying inpatient order sets and electronic health record clinical pathways that dictate institutional therapeutic selection.</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Pathway Protocol Concordance: Real-world electronic order sets are evaluated to determine whether health system clinical pathways reflect current national clinical practice guidelines or enforce restrictive formulary substitution protocols.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First-Line Field and Territory Enablement: Micro-Targeting and Compliant Detailing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Field Specialists, Territory Account Managers, and Scientific Field Liaisons operate directly at the healthcare provider (HCP) interface. They require real-time, compliant, micro-targeted intelligence that optimizes each clinical engagement without exceeding strict regulatory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Provider-Level Phenotypic Micro-Targeting and Next-Best-Action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commercial targeting relies on historical, lagged prescription deciles that fail to uncover clinical intent. The platform replaces static deciles with a dynamic Next-Best-Action (NBA) engine powered by de-identified longitudinal patient phenotyping:</w:t>
      </w:r>
    </w:p>
    <w:p w:rsidR="00000000" w:rsidDel="00000000" w:rsidP="00000000" w:rsidRDefault="00000000" w:rsidRPr="00000000" w14:paraId="00000025">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Biomarker and Laboratory Marker Triangulation: Aggregated laboratory feeds identify practices treating high concentrations of clinically eligible patients who fail standard of care (e.g., persistent LDL-C </w:t>
      </w:r>
      <w:r w:rsidDel="00000000" w:rsidR="00000000" w:rsidRPr="00000000">
        <w:rPr>
          <w:rFonts w:ascii="Google Sans" w:cs="Google Sans" w:eastAsia="Google Sans" w:hAnsi="Google Sans"/>
          <w:color w:val="1f1f1f"/>
        </w:rPr>
        <w:drawing>
          <wp:inline distB="19050" distT="19050" distL="19050" distR="19050">
            <wp:extent cx="1140381" cy="235679"/>
            <wp:effectExtent b="0" l="0" r="0" t="0"/>
            <wp:docPr id="131" name="image89.png"/>
            <a:graphic>
              <a:graphicData uri="http://schemas.openxmlformats.org/drawingml/2006/picture">
                <pic:pic>
                  <pic:nvPicPr>
                    <pic:cNvPr id="0" name="image89.png"/>
                    <pic:cNvPicPr preferRelativeResize="0"/>
                  </pic:nvPicPr>
                  <pic:blipFill>
                    <a:blip r:embed="rId27"/>
                    <a:srcRect b="0" l="0" r="0" t="0"/>
                    <a:stretch>
                      <a:fillRect/>
                    </a:stretch>
                  </pic:blipFill>
                  <pic:spPr>
                    <a:xfrm>
                      <a:off x="0" y="0"/>
                      <a:ext cx="1140381" cy="2356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despite high-intensity statin therapy, severe uncontrolled eosinophilic asthma evidenced by absolute eosinophil counts </w:t>
      </w:r>
      <w:r w:rsidDel="00000000" w:rsidR="00000000" w:rsidRPr="00000000">
        <w:rPr>
          <w:rFonts w:ascii="Google Sans" w:cs="Google Sans" w:eastAsia="Google Sans" w:hAnsi="Google Sans"/>
          <w:color w:val="1f1f1f"/>
        </w:rPr>
        <w:drawing>
          <wp:inline distB="19050" distT="19050" distL="19050" distR="19050">
            <wp:extent cx="1248728" cy="245149"/>
            <wp:effectExtent b="0" l="0" r="0" t="0"/>
            <wp:docPr id="132" name="image95.png"/>
            <a:graphic>
              <a:graphicData uri="http://schemas.openxmlformats.org/drawingml/2006/picture">
                <pic:pic>
                  <pic:nvPicPr>
                    <pic:cNvPr id="0" name="image95.png"/>
                    <pic:cNvPicPr preferRelativeResize="0"/>
                  </pic:nvPicPr>
                  <pic:blipFill>
                    <a:blip r:embed="rId28"/>
                    <a:srcRect b="0" l="0" r="0" t="0"/>
                    <a:stretch>
                      <a:fillRect/>
                    </a:stretch>
                  </pic:blipFill>
                  <pic:spPr>
                    <a:xfrm>
                      <a:off x="0" y="0"/>
                      <a:ext cx="1248728" cy="245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treatment-refractory ulcerative colitis with elevated fecal calprotectin).</w:t>
      </w:r>
    </w:p>
    <w:p w:rsidR="00000000" w:rsidDel="00000000" w:rsidP="00000000" w:rsidRDefault="00000000" w:rsidRPr="00000000" w14:paraId="00000026">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Therapy Discontinuation Indicators: Machine learning models detect clusters of early therapy discontinuations or frequent dosage titrations within a target clinic, signaling clinical dissatisfaction with current treatment regimens and highlighting opportunities for evidence-based detailing.</w:t>
      </w:r>
    </w:p>
    <w:p w:rsidR="00000000" w:rsidDel="00000000" w:rsidP="00000000" w:rsidRDefault="00000000" w:rsidRPr="00000000" w14:paraId="00000027">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Opportunity Decile Recalibration: HCP opportunity scores are continuously updated by weighting active patient volume against therapeutic failure rates, generating dynamic routing schedules that prioritize high-yield medical practices.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Compliant Clinical Detailing and Point-of-Care Access Navigation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uphold legal guardrails, all field-facing generative intelligence is constrained to approved promotional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On-Label Scientific Narrative Matching: The copilot analyzes the prevailing clinical phenotype of a provider's patient cohort and pairs it with approved labeling claims, clinical trial endpoint data, and published study designs sourced directly from the FDA Structured Product Labeling (SPL) database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Comparative Safety Profiling: Field representatives receive comparative safety profiles that reflect the warnings, precautions, and adverse reaction tables authorized in regulatory package inserts, preventing unsubstantiated comparative efficacy claims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Point-of-Care Formulary Navigation: Sales specialists are equipped with account-level pull-through guides detailing local commercial and Medicare coverage, active copay card assistance terms, and precise diagnostic documentation requirements, enabling them to resolve administrative access hurdles for eligible patients.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Commercial Decision Matrix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decision-matrix details how unified patient and regulatory intelligence informs business questions, data signals, performance metrics, strategic actions, and enterprise revenue outcomes across every organizational tier.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Organizational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Business Question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Data Signals Required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Metric / KPI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Actionable Strategic Output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Enterprise Revenue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Chief Commercial Officer / VP Franchise Lead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should capital be reallocated across the portfolio to maximize twelve-month net revenue 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longitudinal prescription feeds (NCPDP), 837/835 claims clearinghouses, competitor promotional spend databases, syndicated sales audits.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Marginal Return on Promotional Investment (mROPI), Brand Switching Ratio (</w:t>
            </w:r>
            <w:r w:rsidDel="00000000" w:rsidR="00000000" w:rsidRPr="00000000">
              <w:rPr>
                <w:rFonts w:ascii="Google Sans" w:cs="Google Sans" w:eastAsia="Google Sans" w:hAnsi="Google Sans"/>
                <w:color w:val="1f1f1f"/>
              </w:rPr>
              <w:drawing>
                <wp:inline distB="19050" distT="19050" distL="19050" distR="19050">
                  <wp:extent cx="434816" cy="213594"/>
                  <wp:effectExtent b="0" l="0" r="0" t="0"/>
                  <wp:docPr id="133" name="image94.png"/>
                  <a:graphic>
                    <a:graphicData uri="http://schemas.openxmlformats.org/drawingml/2006/picture">
                      <pic:pic>
                        <pic:nvPicPr>
                          <pic:cNvPr id="0" name="image94.png"/>
                          <pic:cNvPicPr preferRelativeResize="0"/>
                        </pic:nvPicPr>
                        <pic:blipFill>
                          <a:blip r:embed="rId29"/>
                          <a:srcRect b="0" l="0" r="0" t="0"/>
                          <a:stretch>
                            <a:fillRect/>
                          </a:stretch>
                        </pic:blipFill>
                        <pic:spPr>
                          <a:xfrm>
                            <a:off x="0" y="0"/>
                            <a:ext cx="434816" cy="2135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Therapy Abandonment Velocity (</w:t>
            </w:r>
            <w:r w:rsidDel="00000000" w:rsidR="00000000" w:rsidRPr="00000000">
              <w:rPr>
                <w:rFonts w:ascii="Google Sans" w:cs="Google Sans" w:eastAsia="Google Sans" w:hAnsi="Google Sans"/>
                <w:color w:val="1f1f1f"/>
              </w:rPr>
              <w:drawing>
                <wp:inline distB="19050" distT="19050" distL="19050" distR="19050">
                  <wp:extent cx="103108" cy="222079"/>
                  <wp:effectExtent b="0" l="0" r="0" t="0"/>
                  <wp:docPr id="134" name="image123.png"/>
                  <a:graphic>
                    <a:graphicData uri="http://schemas.openxmlformats.org/drawingml/2006/picture">
                      <pic:pic>
                        <pic:nvPicPr>
                          <pic:cNvPr id="0" name="image123.png"/>
                          <pic:cNvPicPr preferRelativeResize="0"/>
                        </pic:nvPicPr>
                        <pic:blipFill>
                          <a:blip r:embed="rId30"/>
                          <a:srcRect b="0" l="0" r="0" t="0"/>
                          <a:stretch>
                            <a:fillRect/>
                          </a:stretch>
                        </pic:blipFill>
                        <pic:spPr>
                          <a:xfrm>
                            <a:off x="0" y="0"/>
                            <a:ext cx="103108" cy="2220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Reallocating personal detailing and direct-to-consumer digital budgets from mature indications to accelerating growth brands.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Multi-million dollar promotional capital efficiency; 8% to 15% increase in annualized net franchise revenue.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National Brand 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root causes drive therapy drop-off between the initial prescription and persistent month-six refills?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retail and specialty pharmacy switch data, NCPDP reject telemetry, copay foundation utilization feeds.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Gross-to-Net (GTN) Bubble, Prior Authorization Denial Rate (</w:t>
            </w:r>
            <w:r w:rsidDel="00000000" w:rsidR="00000000" w:rsidRPr="00000000">
              <w:rPr>
                <w:rFonts w:ascii="Google Sans" w:cs="Google Sans" w:eastAsia="Google Sans" w:hAnsi="Google Sans"/>
                <w:color w:val="1f1f1f"/>
              </w:rPr>
              <w:drawing>
                <wp:inline distB="19050" distT="19050" distL="19050" distR="19050">
                  <wp:extent cx="258604" cy="219421"/>
                  <wp:effectExtent b="0" l="0" r="0" t="0"/>
                  <wp:docPr id="135" name="image101.png"/>
                  <a:graphic>
                    <a:graphicData uri="http://schemas.openxmlformats.org/drawingml/2006/picture">
                      <pic:pic>
                        <pic:nvPicPr>
                          <pic:cNvPr id="0" name="image101.png"/>
                          <pic:cNvPicPr preferRelativeResize="0"/>
                        </pic:nvPicPr>
                        <pic:blipFill>
                          <a:blip r:embed="rId31"/>
                          <a:srcRect b="0" l="0" r="0" t="0"/>
                          <a:stretch>
                            <a:fillRect/>
                          </a:stretch>
                        </pic:blipFill>
                        <pic:spPr>
                          <a:xfrm>
                            <a:off x="0" y="0"/>
                            <a:ext cx="258604" cy="219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Month-6 Adherence Persistence (</w:t>
            </w:r>
            <w:r w:rsidDel="00000000" w:rsidR="00000000" w:rsidRPr="00000000">
              <w:rPr>
                <w:rFonts w:ascii="Google Sans" w:cs="Google Sans" w:eastAsia="Google Sans" w:hAnsi="Google Sans"/>
                <w:color w:val="1f1f1f"/>
              </w:rPr>
              <w:drawing>
                <wp:inline distB="19050" distT="19050" distL="19050" distR="19050">
                  <wp:extent cx="451009" cy="217728"/>
                  <wp:effectExtent b="0" l="0" r="0" t="0"/>
                  <wp:docPr id="136" name="image98.png"/>
                  <a:graphic>
                    <a:graphicData uri="http://schemas.openxmlformats.org/drawingml/2006/picture">
                      <pic:pic>
                        <pic:nvPicPr>
                          <pic:cNvPr id="0" name="image98.png"/>
                          <pic:cNvPicPr preferRelativeResize="0"/>
                        </pic:nvPicPr>
                        <pic:blipFill>
                          <a:blip r:embed="rId32"/>
                          <a:srcRect b="0" l="0" r="0" t="0"/>
                          <a:stretch>
                            <a:fillRect/>
                          </a:stretch>
                        </pic:blipFill>
                        <pic:spPr>
                          <a:xfrm>
                            <a:off x="0" y="0"/>
                            <a:ext cx="451009" cy="217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Restructuring patient copay assistance cards and deploying field reimbursement specialists to high-friction geographies.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to 22% reduction in early brand drop-off; expands lifetime patient-on-therapy days.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VP of Market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health plans represent the highest financial exposure or opportunity for upcoming formulary review cycles?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PBM commercial formulary status tables, Medicare Part D coverage files, 835 claim remittance adjustment reason codes (CARCs).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Payer Denial Elasticity (</w:t>
            </w:r>
            <w:r w:rsidDel="00000000" w:rsidR="00000000" w:rsidRPr="00000000">
              <w:rPr>
                <w:rFonts w:ascii="Google Sans" w:cs="Google Sans" w:eastAsia="Google Sans" w:hAnsi="Google Sans"/>
                <w:color w:val="1f1f1f"/>
              </w:rPr>
              <w:drawing>
                <wp:inline distB="19050" distT="19050" distL="19050" distR="19050">
                  <wp:extent cx="387429" cy="212706"/>
                  <wp:effectExtent b="0" l="0" r="0" t="0"/>
                  <wp:docPr id="137" name="image111.png"/>
                  <a:graphic>
                    <a:graphicData uri="http://schemas.openxmlformats.org/drawingml/2006/picture">
                      <pic:pic>
                        <pic:nvPicPr>
                          <pic:cNvPr id="0" name="image111.png"/>
                          <pic:cNvPicPr preferRelativeResize="0"/>
                        </pic:nvPicPr>
                        <pic:blipFill>
                          <a:blip r:embed="rId33"/>
                          <a:srcRect b="0" l="0" r="0" t="0"/>
                          <a:stretch>
                            <a:fillRect/>
                          </a:stretch>
                        </pic:blipFill>
                        <pic:spPr>
                          <a:xfrm>
                            <a:off x="0" y="0"/>
                            <a:ext cx="387429" cy="212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Formulary Placement Drag Coefficient, Net Realized Price Concession.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dynamic value-based rebate renegotiations; prioritizing high-impact health plans for P&amp;T engagement.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Secures preferred tier positioning across commercial covered lives, protecting gross margin realization.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Regional General Manager (GM / AGM)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should sales representative territories be restructured to balance workload and market opportunity?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Geocoded clinic locations, provider encounter volumes, traffic impedance matrices, field activity logs from enterprise CRM.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Account Opportunity Index (AOI), Territory Workload Variance (</w:t>
            </w:r>
            <w:r w:rsidDel="00000000" w:rsidR="00000000" w:rsidRPr="00000000">
              <w:rPr>
                <w:rFonts w:ascii="Google Sans" w:cs="Google Sans" w:eastAsia="Google Sans" w:hAnsi="Google Sans"/>
                <w:color w:val="1f1f1f"/>
              </w:rPr>
              <w:drawing>
                <wp:inline distB="19050" distT="19050" distL="19050" distR="19050">
                  <wp:extent cx="366474" cy="218325"/>
                  <wp:effectExtent b="0" l="0" r="0" t="0"/>
                  <wp:docPr id="138" name="image97.png"/>
                  <a:graphic>
                    <a:graphicData uri="http://schemas.openxmlformats.org/drawingml/2006/picture">
                      <pic:pic>
                        <pic:nvPicPr>
                          <pic:cNvPr id="0" name="image97.png"/>
                          <pic:cNvPicPr preferRelativeResize="0"/>
                        </pic:nvPicPr>
                        <pic:blipFill>
                          <a:blip r:embed="rId34"/>
                          <a:srcRect b="0" l="0" r="0" t="0"/>
                          <a:stretch>
                            <a:fillRect/>
                          </a:stretch>
                        </pic:blipFill>
                        <pic:spPr>
                          <a:xfrm>
                            <a:off x="0" y="0"/>
                            <a:ext cx="366474" cy="218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Detailing Conversion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Rebalancing territory boundary configurations and updating regional quarterly sales quotas.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to 18% improvement in field detailing capacity; mitigates representative burnout and underservicing.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Account Director (IDN / Health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hospital networks are blocking institutional access, and who are the key pathway gatekeepers?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Inpatient discharge records (837I), hospital P&amp;T committee registries, IDN physician alignment databases, AMA masterfiles.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Formulary Concordance, Electronic Clinical Pathway Adherence Rate, Prescribing Velocity.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Delivering institutional value dossiers and initiating peer-to-peer clinical engagements with pathway committee directors.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Accelerates institutional formulary inclusion; expands inpatient initiation and outpatient pull-through.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Territory Field Specialist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high-potential clinics should be visited this week, and what clinical evidence matches their patient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Aggregated provider diagnostic counts (</w:t>
            </w:r>
            <w:r w:rsidDel="00000000" w:rsidR="00000000" w:rsidRPr="00000000">
              <w:rPr>
                <w:rFonts w:ascii="Google Sans" w:cs="Google Sans" w:eastAsia="Google Sans" w:hAnsi="Google Sans"/>
                <w:color w:val="1f1f1f"/>
              </w:rPr>
              <w:drawing>
                <wp:inline distB="19050" distT="19050" distL="19050" distR="19050">
                  <wp:extent cx="574953" cy="245313"/>
                  <wp:effectExtent b="0" l="0" r="0" t="0"/>
                  <wp:docPr id="139"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574953" cy="245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regional laboratory test abnormality flags, local payer coverage mixes.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Latent Eligible Patient Cohort Size, Provider Responsiveness Decile, Access Friction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weekly target routing, providing on-label clinical discussion guides and clinic-specific PA cheat sheets.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to 30% increase in qualified new-patient starts (NBRx); ensures zero regulatory compliance violations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Medical Science Liaison (MSL)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clinical trial endpoints and mechanisms of action are academic clinicians probing in unsolicited inquiries?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Unsolicited Medical Information Request (MIR) logs, investigator-initiated study submissions, clinical trial registry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Inquiry Frequency, Clinical Trial Endpoint Gap Score, KOL Academic Engagement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retrieval of peer-reviewed clinical reprints and objective scientific presentations matching inquiry scope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Accelerates clinical trial recruitment; supports compliant scientific exchange and clinical understanding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Heterogeneous Data Sourcing &amp; Multi-Layered Agentic Data Pipeline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an enterprise-grade Patient/Member 360 requires ingesting, normalizing, and linking diverse healthcare data while maintaining intellectual property compliance and privacy standards.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Permissive Public and Synthetic Corpus Acquisition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models, frameworks, and data corpora integrated into the architectural pipeline must maintain clear, verified Freedom-to-Operate (FTO) terms, explicitly rejecting copyleft encumbrances (e.g., GPL, AGPL) or non-commercial restrictions (e.g., CC BY-NC) that could compromise commercial software deployment or patentability.</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Open-Access and Synthetic Patient Datasets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ingests synthetic and public-use healthcare datasets to train, benchmark, and validate analytical models without exposing protected health information (PHI):</w:t>
      </w:r>
    </w:p>
    <w:p w:rsidR="00000000" w:rsidDel="00000000" w:rsidP="00000000" w:rsidRDefault="00000000" w:rsidRPr="00000000" w14:paraId="00000066">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Synthea Synthetic Patient Population Simulator: Developed by The MITRE Corporation, Synthea models the longitudinal medical histories of synthetic patient cohorts across realistic clinical trajectories. Distributed under the Apache License, Version 2.0, Synthea provides unrestricted commercial freedom-to-operate, enabling proprietary derivative modeling and synthetic clinical generation. The platform ingests Synthea synthetic populations output in both HL7 FHIR Release 4 JSON structures and normalized relational CSV schemas, capturing conditions, allergies, encounters, medications, observations, procedures, and immunizations.</w:t>
      </w:r>
    </w:p>
    <w:p w:rsidR="00000000" w:rsidDel="00000000" w:rsidP="00000000" w:rsidRDefault="00000000" w:rsidRPr="00000000" w14:paraId="00000067">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CMS Synthetic Public Use Files (SynPUF): Issued by the Centers for Medicare &amp; Medicaid Services, SynPUF provides synthetic claims data based on historical Medicare beneficiary data structures. As an official work of the United States Federal Government under 17 U.S.C. § 105, SynPUF resides in the public domain, providing unencumbered commercial freedom-to-operate. The platform ingests SynPUF records across Inpatient Claims, Outpatient Claims, Carrier Claims, and Prescription Drug Events (PDE) to train clearinghouse adjudication and claims-processing algorithms.</w:t>
      </w:r>
    </w:p>
    <w:p w:rsidR="00000000" w:rsidDel="00000000" w:rsidP="00000000" w:rsidRDefault="00000000" w:rsidRPr="00000000" w14:paraId="00000068">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PhysioNet MIMIC-IV Clinical Database (Demo Subset): Managed by the MIT Laboratory for Computational Physiology, the MIMIC-IV Demo subset provides de-identified electronic health records spanning intensive care and emergency department encounters. Distributed under the PhysioNet Credentialed Health Data Agreement and Open Health Data provisions, this corpus supports clinical model benchmarking and phenotyping algorithm validation, subject to strict data handling and re-identification prohibitions.</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Generative Data Synthesis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expand training corpora while maintaining privacy guarantees, the architecture deploys generative synthesis frameworks:</w:t>
      </w:r>
    </w:p>
    <w:p w:rsidR="00000000" w:rsidDel="00000000" w:rsidP="00000000" w:rsidRDefault="00000000" w:rsidRPr="00000000" w14:paraId="0000006B">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Tabular Denoising Diffusion Probabilistic Models (TabDDPM): TabDDPM synthesizes mixed continuous and categorical tabular clinical features by coupling Gaussian diffusion for continuous laboratory values with multinomial diffusion for discrete diagnostic codes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Published under the MIT License by Kotelnikov et al. (arXiv:2209.15421), TabDDPM provides commercial derivation rights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Synthcity Healthcare Generative Framework: Published under the Apache License, Version 2.0 by the van der Schaar Lab at the University of Cambridge (arXiv:2301.07573), Synthcity provides generative algorithms for tabular, time-series, and survival healthcare data, including medGAN, CTGAN, and TVAE architectures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Differentially Private Synthesis: Generative diffusion models are trained using Differentially Private Stochastic Gradient Descent (DP-SGD), enforcing mathematically provable privacy guarantees bounding privacy loss parameters to </w:t>
      </w:r>
      <w:r w:rsidDel="00000000" w:rsidR="00000000" w:rsidRPr="00000000">
        <w:rPr>
          <w:rFonts w:ascii="Google Sans" w:cs="Google Sans" w:eastAsia="Google Sans" w:hAnsi="Google Sans"/>
          <w:color w:val="1f1f1f"/>
        </w:rPr>
        <w:drawing>
          <wp:inline distB="19050" distT="19050" distL="19050" distR="19050">
            <wp:extent cx="591383" cy="245770"/>
            <wp:effectExtent b="0" l="0" r="0" t="0"/>
            <wp:docPr id="11"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1383" cy="245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36759" cy="245586"/>
            <wp:effectExtent b="0" l="0" r="0" t="0"/>
            <wp:docPr id="12"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736759" cy="245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and Regulatory Archives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Authoritative regulatory and clinical trial archives are ingested to ground the copilot's generation:</w:t>
      </w:r>
    </w:p>
    <w:p w:rsidR="00000000" w:rsidDel="00000000" w:rsidP="00000000" w:rsidRDefault="00000000" w:rsidRPr="00000000" w14:paraId="00000070">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openFDA Structured Product Labeling (SPL) Repository: The FDA provides comprehensive human prescription drug labeling submitted by pharmaceutical manufacturers in standardized XML formats. As a United States Federal Government creation, openFDA SPL data resides in the public domain, enabling commercial indexing and derivation.</w:t>
      </w:r>
    </w:p>
    <w:p w:rsidR="00000000" w:rsidDel="00000000" w:rsidP="00000000" w:rsidRDefault="00000000" w:rsidRPr="00000000" w14:paraId="00000071">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Drugs@FDA Regulatory Approval Dossiers: Publicly accessible via the FDA Electronic Reading Room under Freedom of Information Act (FOIA) provisions, these public domain files include Multi-Discipline Reviews, Summary Basis of Approval (SBA) packages, and clinical pharmacology reviews.</w:t>
      </w:r>
    </w:p>
    <w:p w:rsidR="00000000" w:rsidDel="00000000" w:rsidP="00000000" w:rsidRDefault="00000000" w:rsidRPr="00000000" w14:paraId="00000072">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ClinicalTrials.gov Protocol and Results Database: Maintained by the National Library of Medicine (NLM), this public domain repository provides structured JSON and XML records detailing study protocols, experimental arms, primary and secondary endpoints, inclusion criteria, and observed adverse event tables.</w:t>
      </w:r>
    </w:p>
    <w:p w:rsidR="00000000" w:rsidDel="00000000" w:rsidP="00000000" w:rsidRDefault="00000000" w:rsidRPr="00000000" w14:paraId="00000073">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PubMed Central Open Access (PMC-OA) Subset: Managed by NCBI, the PMC Open Access subset contains millions of peer-reviewed biomedical manuscripts. The platform selectively ingests articles published under the Creative Commons Attribution License (CC BY 4.0 and CC BY 3.0), programmatically excluding non-commercial licenses (CC BY-NC, CC BY-NC-ND) to preserve commercial freedom-to-operate.</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Prescription and Medical Document Artifacts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acquires and generates multi-modal document artifacts to train document understanding microservices:</w:t>
      </w:r>
    </w:p>
    <w:p w:rsidR="00000000" w:rsidDel="00000000" w:rsidP="00000000" w:rsidRDefault="00000000" w:rsidRPr="00000000" w14:paraId="00000076">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Synthetically Rendered Prescription Documents: Programmatically constructed medical order sheets, handwritten prescription slips, and clinic intake documents generated via rendering pipelines that combine synthetic text lines, randomized physician typography fonts, electronic signatures, and simulated document noise (skew, blur, bleed-through).</w:t>
      </w:r>
    </w:p>
    <w:p w:rsidR="00000000" w:rsidDel="00000000" w:rsidP="00000000" w:rsidRDefault="00000000" w:rsidRPr="00000000" w14:paraId="00000077">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De-Identified Prior Authorization Denials: Publicly permissible and synthetic prior authorization appeal packets, benefits verification summaries, and laboratory report PDFs modeling standard institutional documentation layouts.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4-Layer Ingestion and Transformation Architecture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pipeline processes diverse, multi-modal healthcare and regulatory inputs through four coordinated architectural layers.</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Data Onboarding and Multi-Modal Ingestion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ingestion boundary processes heterogeneous document streams, including scanned paper prescription slips, faxed prior authorization forms, electronic medical records, and dense multi-column PDF regulatory filings:</w:t>
      </w:r>
    </w:p>
    <w:p w:rsidR="00000000" w:rsidDel="00000000" w:rsidP="00000000" w:rsidRDefault="00000000" w:rsidRPr="00000000" w14:paraId="0000007C">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Multi-Modal Document Parsing: Asynchronous ingestion queues orchestrated via Apache NiFi and cloud object storage ingest raw binary formats (PDF, TIFF, JPEG) and structured data feeds (FHIR JSON, HL7 v2, X12 837 claims).</w:t>
      </w:r>
    </w:p>
    <w:p w:rsidR="00000000" w:rsidDel="00000000" w:rsidP="00000000" w:rsidRDefault="00000000" w:rsidRPr="00000000" w14:paraId="0000007D">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Layout-Aware Document OCR: Visual documents are processed using DocTR (Document Text Recognition) and PaddleOCR, both operating under permissive Apache 2.0 licensing. These engines extract coordinate-bound textual tokens, computing bounding box geometries </w:t>
      </w:r>
      <w:r w:rsidDel="00000000" w:rsidR="00000000" w:rsidRPr="00000000">
        <w:rPr>
          <w:rFonts w:ascii="Google Sans" w:cs="Google Sans" w:eastAsia="Google Sans" w:hAnsi="Google Sans"/>
          <w:color w:val="1f1f1f"/>
        </w:rPr>
        <w:drawing>
          <wp:inline distB="19050" distT="19050" distL="19050" distR="19050">
            <wp:extent cx="1837134" cy="243935"/>
            <wp:effectExtent b="0" l="0" r="0" t="0"/>
            <wp:docPr id="13"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1837134" cy="243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baseline orientations, and font hierarchies.</w:t>
      </w:r>
    </w:p>
    <w:p w:rsidR="00000000" w:rsidDel="00000000" w:rsidP="00000000" w:rsidRDefault="00000000" w:rsidRPr="00000000" w14:paraId="0000007E">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Table Structure Recognition: LayoutLM architectures trained on document layouts extract visual table grids, distinguishing column headers, spanning cells, and row-aligned values in complex regulatory review tables and hospital laboratory report slips.</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Agentic Data Structuring and Refinement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OCR tokens and extracted texts pass into an agentic structuring layer that normalizes noisy unstructured clinical data into validated schemas:</w:t>
      </w:r>
    </w:p>
    <w:p w:rsidR="00000000" w:rsidDel="00000000" w:rsidP="00000000" w:rsidRDefault="00000000" w:rsidRPr="00000000" w14:paraId="00000081">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Autonomous Parsing Agents: Specialized micro-agents execute document-specific extraction tasks. A Prescription Parsing Agent extracts drug names, dosages, dosage forms, routes of administration, frequencies, dispense quantities, and refill counts. A Clinical Observation Agent extracts lab test names, numeric magnitudes, units of measure, and reference ranges.</w:t>
      </w:r>
    </w:p>
    <w:p w:rsidR="00000000" w:rsidDel="00000000" w:rsidP="00000000" w:rsidRDefault="00000000" w:rsidRPr="00000000" w14:paraId="00000082">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Standard Medical Ontology Cross-Walk Engine: Unstructured clinical mentions are mapped to standardized vocabularies:</w:t>
      </w:r>
    </w:p>
    <w:p w:rsidR="00000000" w:rsidDel="00000000" w:rsidP="00000000" w:rsidRDefault="00000000" w:rsidRPr="00000000" w14:paraId="00000083">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Diagnoses and Symptoms: Mapped to ICD-10-CM and SNOMED-CT using semantic string embeddings and cosine distance reranking.</w:t>
      </w:r>
    </w:p>
    <w:p w:rsidR="00000000" w:rsidDel="00000000" w:rsidP="00000000" w:rsidRDefault="00000000" w:rsidRPr="00000000" w14:paraId="00000084">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Procedures and Interventions: Mapped to CPT-4 and HCPCS codes.</w:t>
      </w:r>
    </w:p>
    <w:p w:rsidR="00000000" w:rsidDel="00000000" w:rsidP="00000000" w:rsidRDefault="00000000" w:rsidRPr="00000000" w14:paraId="00000085">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Medications: Brand names, generic names, and unbranded prescription text are resolved to RxNorm Concept Unique Identifiers (RxCUIs) and National Drug Codes (NDCs).</w:t>
      </w:r>
    </w:p>
    <w:p w:rsidR="00000000" w:rsidDel="00000000" w:rsidP="00000000" w:rsidRDefault="00000000" w:rsidRPr="00000000" w14:paraId="00000086">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Laboratory Tests: Mapped to standard Logical Observation Identifiers Names and Codes (LOINC).</w:t>
      </w:r>
    </w:p>
    <w:p w:rsidR="00000000" w:rsidDel="00000000" w:rsidP="00000000" w:rsidRDefault="00000000" w:rsidRPr="00000000" w14:paraId="00000087">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Standardized Data Normalization (FHIR R4): The agentic pipeline structures extracted clinical encounters and prescriptions into HL7 FHIR JSON Release 4 specifications.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normalized schema below illustrates an extracted prescription structured as a compliant FHIR MedicationRequest resource: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"resourceType"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"MedicationRequest"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"medrx-synth-892110"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"intent"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"order"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"medicationCodeableConcept"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"coding"</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"http://www.nlm.nih.gov/research/umls/rxnorm"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"2059343"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"risankizumab-rzaa 150 MG/ML Auto-Injector"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"http://hl7.org/fhir/sid/ndc"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"0074-1050-01"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"Skyrizi 150 mg/mL Pen Injector"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"Skyrizi 150mg/mL pen injector"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"reference"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"Patient/pat-anon-09148"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"Anonymous Cohort Member 09148"</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"encounter"</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"reference"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"Encounter/enc-derm-4819"</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"authoredOn"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"2024-10-15"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"requester"</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"reference"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"Practitioner/npi-1982736450"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"Board-Certified Dermatologist"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"reasonCode"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"coding"</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"http://hl7.org/fhir/sid/icd-10-cm"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"L40.0"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"Psoriasis vulgaris"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"dosageInstruction"</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"150 mg subcutaneously at Week 0, Week 4, and every 12 weeks thereafter"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"timing"</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"repeat"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"frequency"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"period"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"periodUnit"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"route"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"coding"</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"http://snomed.info/sct"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"34206005"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"Subcutaneous route"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"doseAndRate"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"doseQuantity"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"unit"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"http://unitsofmeasure.org"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"mg"</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"dispenseRequest"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"numberOfRepeatsAllowed"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"quantity"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"unit"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"http://unitsofmeasure.org"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"mL"</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normalized relational schema below captures longitudinal prescription event transactions within the enterprise analytical warehouse: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commercial_analytics.fact_prescription_events (</w:t>
        <w:br w:type="textWrapping"/>
        <w:t xml:space="preserve">    prescription_event_id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w:t>
        <w:br w:type="textWrapping"/>
        <w:t xml:space="preserve">    patient_anon_id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prescribing_npi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encounter_id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w:t>
      </w:r>
      <w:r w:rsidDel="00000000" w:rsidR="00000000" w:rsidRPr="00000000">
        <w:rPr>
          <w:rFonts w:ascii="Google Sans" w:cs="Google Sans" w:eastAsia="Google Sans" w:hAnsi="Google Sans"/>
          <w:color w:val="1f1f1f"/>
          <w:shd w:fill="141414" w:val="clear"/>
          <w:rtl w:val="0"/>
        </w:rPr>
        <w:t xml:space="preserve">),</w:t>
        <w:br w:type="textWrapping"/>
        <w:t xml:space="preserve">    authored_date </w:t>
      </w:r>
      <w:r w:rsidDel="00000000" w:rsidR="00000000" w:rsidRPr="00000000">
        <w:rPr>
          <w:rFonts w:ascii="Google Sans" w:cs="Google Sans" w:eastAsia="Google Sans" w:hAnsi="Google Sans"/>
          <w:i w:val="0"/>
          <w:iCs w:val="0"/>
          <w:color w:val="969dff"/>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icd10_primary_diagnosis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rxnorm_cui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ndc_code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drug_name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dosage_magnitude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dosage_unit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frequency_days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refills_authorized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payer_id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claim_status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copay_coinsurance_usd </w:t>
      </w:r>
      <w:r w:rsidDel="00000000" w:rsidR="00000000" w:rsidRPr="00000000">
        <w:rPr>
          <w:rFonts w:ascii="Google Sans" w:cs="Google Sans" w:eastAsia="Google Sans" w:hAnsi="Google Sans"/>
          <w:i w:val="0"/>
          <w:iCs w:val="0"/>
          <w:color w:val="969dff"/>
          <w:sz w:val="20"/>
          <w:szCs w:val="20"/>
          <w:shd w:fill="141414" w:val="clear"/>
          <w:rtl w:val="0"/>
        </w:rPr>
        <w:t xml:space="preserve">DECIMAL</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etl_timestamp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Semantic and Knowledge Graph Unification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unifies transactional real-world health data with regulatory, pharmacological, and clinical trial evidence into a multi-relational Knowledge Graph (KG) hosted within Neo4j or Amazon Neptune:</w:t>
      </w:r>
    </w:p>
    <w:p w:rsidR="00000000" w:rsidDel="00000000" w:rsidP="00000000" w:rsidRDefault="00000000" w:rsidRPr="00000000" w14:paraId="00000096">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Graph Entity Topology: The graph instantiates two interconnected sub-domains:</w:t>
      </w:r>
    </w:p>
    <w:p w:rsidR="00000000" w:rsidDel="00000000" w:rsidP="00000000" w:rsidRDefault="00000000" w:rsidRPr="00000000" w14:paraId="00000097">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Patient/Member 360 Subgraph: Nodes include (:Patient), (:Encounter), (:Condition), (:Observation), (:Prescription), (:Payer), and (:HCP).</w:t>
      </w:r>
    </w:p>
    <w:p w:rsidR="00000000" w:rsidDel="00000000" w:rsidP="00000000" w:rsidRDefault="00000000" w:rsidRPr="00000000" w14:paraId="00000098">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Regulatory &amp; Pharmacological Subgraph: Nodes include (:ActiveIngredient), (:BrandDrug), (:DrugClass), (:Indication), (:Contraindication), (:BoxedWarning), (:ClinicalTrial), and (:TrialEndpoint).</w:t>
      </w:r>
    </w:p>
    <w:p w:rsidR="00000000" w:rsidDel="00000000" w:rsidP="00000000" w:rsidRDefault="00000000" w:rsidRPr="00000000" w14:paraId="00000099">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Semantic Relationships: Edges capture clinical, commercial, and regulatory linkages:</w:t>
      </w:r>
    </w:p>
    <w:p w:rsidR="00000000" w:rsidDel="00000000" w:rsidP="00000000" w:rsidRDefault="00000000" w:rsidRPr="00000000" w14:paraId="0000009A">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(:Patient)-[:DIAGNOSED_WITH {date, severity}]-&gt;(:Condition)</w:t>
      </w:r>
    </w:p>
    <w:p w:rsidR="00000000" w:rsidDel="00000000" w:rsidP="00000000" w:rsidRDefault="00000000" w:rsidRPr="00000000" w14:paraId="0000009B">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(:Patient)-[:PRESCRIBED {fill_date, days_supply}]-&gt;(:BrandDrug)</w:t>
      </w:r>
    </w:p>
    <w:p w:rsidR="00000000" w:rsidDel="00000000" w:rsidP="00000000" w:rsidRDefault="00000000" w:rsidRPr="00000000" w14:paraId="0000009C">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(:HCP)-[:AUTHORED]-&gt;(:Prescription)</w:t>
      </w:r>
    </w:p>
    <w:p w:rsidR="00000000" w:rsidDel="00000000" w:rsidP="00000000" w:rsidRDefault="00000000" w:rsidRPr="00000000" w14:paraId="0000009D">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(:BrandDrug)-[:INDICATED_FOR {line_of_therapy, fda_approval_date}]-&gt;(:Indication)</w:t>
      </w:r>
    </w:p>
    <w:p w:rsidR="00000000" w:rsidDel="00000000" w:rsidP="00000000" w:rsidRDefault="00000000" w:rsidRPr="00000000" w14:paraId="0000009E">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(:BrandDrug)-[:CONTRAINDICATED_WITH]-&gt;(:Condition)</w:t>
      </w:r>
    </w:p>
    <w:p w:rsidR="00000000" w:rsidDel="00000000" w:rsidP="00000000" w:rsidRDefault="00000000" w:rsidRPr="00000000" w14:paraId="0000009F">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(:BrandDrug)-[:EVALUATED_IN {phase, trial_id}]-&gt;(:ClinicalTrial)</w:t>
      </w:r>
    </w:p>
    <w:p w:rsidR="00000000" w:rsidDel="00000000" w:rsidP="00000000" w:rsidRDefault="00000000" w:rsidRPr="00000000" w14:paraId="000000A0">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(:ClinicalTrial)-[:MEASURED_ENDPOINT {hazard_ratio, p_value}]-&gt;(:TrialEndpoint)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Cypher query illustrates the identification of eligible, switch-ready patients within a specific territory, cross-referencing diagnostic history and clinical lab markers with regulatory approval parameters: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Cypher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MATCH (territory:Territory {region_id: "US-NE-T12"})&lt;-[:ASSIGNED_TO]-(hcp:HCP)</w:t>
        <w:br w:type="textWrapping"/>
        <w:t xml:space="preserve">MATCH (hcp)-[:AUTHORED]-&gt;(rx:Prescription)-[:FOR_PRODUCT]-&gt;(current_drug:BrandDrug {drug_class: "TNF_Inhibitor"})</w:t>
        <w:br w:type="textWrapping"/>
        <w:t xml:space="preserve">MATCH (p:Patient)-[:PRESCRIBED]-&gt;(rx)</w:t>
        <w:br w:type="textWrapping"/>
        <w:t xml:space="preserve">MATCH (p)-[:DIAGNOSED_WITH]-&gt;(cond:Condition {icd10_base: "L40.0"})</w:t>
        <w:br w:type="textWrapping"/>
        <w:t xml:space="preserve">MATCH (p)-[:HAS_LAB_RESULT]-&gt;(obs:Observation {loinc_code: "72133-2"})</w:t>
        <w:br w:type="textWrapping"/>
        <w:t xml:space="preserve">WHERE obs.numeric_value &gt;= 12.0</w:t>
        <w:br w:type="textWrapping"/>
        <w:t xml:space="preserve">  AND NOT (p)-[:HAS_RECORDED_ADVERSE_EVENT]-&gt;(:Condition {snomed_concept: "Active_Tuberculosis"})</w:t>
        <w:br w:type="textWrapping"/>
        <w:t xml:space="preserve">MATCH (candidate_drug:BrandDrug {brand_name: "Target_IL23_Biologic"})-[:INDICATED_FOR]-&gt;(ind:Indication {indication_name: "Moderate-to-Severe Psoriasis"})</w:t>
        <w:br w:type="textWrapping"/>
        <w:t xml:space="preserve">RETURN hcp.npi AS prescriber_npi,</w:t>
        <w:br w:type="textWrapping"/>
        <w:t xml:space="preserve">       hcp.full_name AS provider_name,</w:t>
        <w:br w:type="textWrapping"/>
        <w:t xml:space="preserve">       COUNT(DISTINCT p) AS eligible_uncontrolled_patient_count,</w:t>
        <w:br w:type="textWrapping"/>
        <w:t xml:space="preserve">       candidate_drug.brand_name AS recommended_alternative_therapy</w:t>
        <w:br w:type="textWrapping"/>
        <w:t xml:space="preserve">ORDER BY eligible_uncontrolled_patient_count DESC</w:t>
        <w:br w:type="textWrapping"/>
        <w:t xml:space="preserve">LIMIT 50;</w:t>
        <w:br w:type="textWrapping"/>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4: Analytics, Semantic Vector Indexing, and Copilot Serving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serving layer bridges unstructured document retrieval and sub-second analytical reporting:</w:t>
      </w:r>
    </w:p>
    <w:p w:rsidR="00000000" w:rsidDel="00000000" w:rsidP="00000000" w:rsidRDefault="00000000" w:rsidRPr="00000000" w14:paraId="000000A9">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Hybrid Vector &amp; Lexical Indexing: Regulatory documents, clinical study protocols, and product package inserts are segmented into structural markdown chunks (mean length = 512 tokens with 64-token overlap). Each chunk is dual-indexed:</w:t>
      </w:r>
    </w:p>
    <w:p w:rsidR="00000000" w:rsidDel="00000000" w:rsidP="00000000" w:rsidRDefault="00000000" w:rsidRPr="00000000" w14:paraId="000000A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Sparse Lexical Index: BM25 index built on inverted document frequencies, handling precise acronyms, gene markers, trial acronyms (e.g., VOYAGE-1, UltIMMa-1), and NDC numbers.</w:t>
      </w:r>
    </w:p>
    <w:p w:rsidR="00000000" w:rsidDel="00000000" w:rsidP="00000000" w:rsidRDefault="00000000" w:rsidRPr="00000000" w14:paraId="000000A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Dense Domain Vector Index: High-dimensional semantic vectors generated using MedCPT and BioLinkBERT. MedCPT uses query and document encoders trained on over 255 million PubMed search queries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BioLinkBERT captures cross-document biomedical link relations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Hybrid Fusion: Reciprocal Rank Fusion (RRF) combines the sparse and dense candidate ranks: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1025506"/>
            <wp:effectExtent b="0" l="0" r="0" t="0"/>
            <wp:docPr id="14"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905500" cy="10255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73154" cy="244209"/>
            <wp:effectExtent b="0" l="0" r="0" t="0"/>
            <wp:docPr id="15"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73154" cy="2442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rank of document </w:t>
      </w:r>
      <w:r w:rsidDel="00000000" w:rsidR="00000000" w:rsidRPr="00000000">
        <w:rPr>
          <w:rFonts w:ascii="Google Sans" w:cs="Google Sans" w:eastAsia="Google Sans" w:hAnsi="Google Sans"/>
          <w:color w:val="1f1f1f"/>
        </w:rPr>
        <w:drawing>
          <wp:inline distB="19050" distT="19050" distL="19050" distR="19050">
            <wp:extent cx="101917" cy="250874"/>
            <wp:effectExtent b="0" l="0" r="0" t="0"/>
            <wp:docPr id="16"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101917" cy="250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retriever modality </w:t>
      </w:r>
      <w:r w:rsidDel="00000000" w:rsidR="00000000" w:rsidRPr="00000000">
        <w:rPr>
          <w:rFonts w:ascii="Google Sans" w:cs="Google Sans" w:eastAsia="Google Sans" w:hAnsi="Google Sans"/>
          <w:color w:val="1f1f1f"/>
        </w:rPr>
        <w:drawing>
          <wp:inline distB="19050" distT="19050" distL="19050" distR="19050">
            <wp:extent cx="172045" cy="250248"/>
            <wp:effectExtent b="0" l="0" r="0" t="0"/>
            <wp:docPr id="17"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172045" cy="250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Distributed Cloud Analytical Warehousing: Structured claims records, prescription event histories, and aggregated HCP engagement metrics reside in Snowflake or Databricks Delta Lake. Columnar Parquet layouts partitioned by region_id, calendar_year, and calendar_month deliver sub-second OLAP query execution for real-time territory aggregations.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Permissible Literature Review, Architecture Dissection &amp; Combinatorial Innovation</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Literature Review of Relevant Prior Art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analysis examines eight seminal research publications drawn from open-access repositories under commercial-friendly licenses.</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1: MedCPT: Contrastive Pre-trained Transformers with Large-scale PubMed Search Logs for Zero-shot Biomedical Information Retrieval</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 Citation &amp; DOI: Jin, Q., Kim, W., Chen, Q., Comeau, D. C., Yeganova, L., Wilbur, W. J., &amp; Lu, Z. (2023). MedCPT: Contrastive Pre-trained Transformers with large-scale PubMed search logs for zero-shot biomedical information retrieval. </w:t>
      </w:r>
      <w:r w:rsidDel="00000000" w:rsidR="00000000" w:rsidRPr="00000000">
        <w:rPr>
          <w:rFonts w:ascii="Google Sans" w:cs="Google Sans" w:eastAsia="Google Sans" w:hAnsi="Google Sans"/>
          <w:i w:val="1"/>
          <w:iCs w:val="1"/>
          <w:color w:val="1f1f1f"/>
          <w:rtl w:val="0"/>
        </w:rPr>
        <w:t xml:space="preserve">Bioinformatics</w:t>
      </w:r>
      <w:r w:rsidDel="00000000" w:rsidR="00000000" w:rsidRPr="00000000">
        <w:rPr>
          <w:rFonts w:ascii="Google Sans" w:cs="Google Sans" w:eastAsia="Google Sans" w:hAnsi="Google Sans"/>
          <w:color w:val="1f1f1f"/>
          <w:rtl w:val="0"/>
        </w:rPr>
        <w:t xml:space="preserve">, 39(11), btad651. DOI: 10.1093/bioinformatics/btad651</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Preprint: arXiv:2307.00589</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Licensing &amp; Freedom-to-Operate (FTO) Metadata Block: Published under the Creative Commons Attribution 4.0 International License (CC BY 4.0)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Code and model weights released via the official NCBI GitHub repository under public domain and permissive distribution terms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Commercial exploitation, proprietary architectural integration, and derivative software modifications are legally permissible without royalty obligations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Core Problem Addressed: Classical biomedical information retrieval relied on lexical string matching (BM25) because standard general-domain dense retrieval encoders fail when processing biomedical queries, missing synonyms, complex acronyms, and pharmacological trade names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Foundational Architectural Pipeline: MedCPT introduces a two-stage retrieval architecture initialized from PubMedBERT-base weights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first stage consists of a bi-encoder (Query Encoder </w:t>
      </w:r>
      <w:r w:rsidDel="00000000" w:rsidR="00000000" w:rsidRPr="00000000">
        <w:rPr>
          <w:rFonts w:ascii="Google Sans" w:cs="Google Sans" w:eastAsia="Google Sans" w:hAnsi="Google Sans"/>
          <w:color w:val="1f1f1f"/>
        </w:rPr>
        <w:drawing>
          <wp:inline distB="19050" distT="19050" distL="19050" distR="19050">
            <wp:extent cx="262890" cy="240357"/>
            <wp:effectExtent b="0" l="0" r="0" t="0"/>
            <wp:docPr id="18"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262890" cy="240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Document Encoder </w:t>
      </w:r>
      <w:r w:rsidDel="00000000" w:rsidR="00000000" w:rsidRPr="00000000">
        <w:rPr>
          <w:rFonts w:ascii="Google Sans" w:cs="Google Sans" w:eastAsia="Google Sans" w:hAnsi="Google Sans"/>
          <w:color w:val="1f1f1f"/>
        </w:rPr>
        <w:drawing>
          <wp:inline distB="19050" distT="19050" distL="19050" distR="19050">
            <wp:extent cx="271820" cy="241618"/>
            <wp:effectExtent b="0" l="0" r="0" t="0"/>
            <wp:docPr id="19"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271820" cy="241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trained contrastively on 255 million PubMed search query-article click logs using InfoNCE loss with in-batch negatives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1008417"/>
            <wp:effectExtent b="0" l="0" r="0" t="0"/>
            <wp:docPr id="20"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05500" cy="10084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second stage comprises a Cross-Encoder Re-ranker trained on 18.3 million non-keyword queries paired with hard negative documents retrieved by the bi-encoder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Empirical Benchmarks: MedCPT achieved state-of-the-art zero-shot retrieval performance across all six biomedical tasks in the BEIR benchmark (COVID, NFCorpus, BioASQ, Touche-2020, DBPedia, TREC-COVID), outperforming general-purpose dense retrievers including Google GTR-XXL (4.8B parameters) and OpenAI cpt-text-XL (175B parameters)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Critical Bottlenecks and Scaling Failures: MedCPT is optimized for medical literature abstracts rather than unstructured, noisy electronic medical records or tabular clinical trial listings. When deployed directly on scanned prescription forms or complex commercial claims data, retrieval performance degrades significantly without domain-adapted preprocessing and lexical fusion.</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2: LinkBERT: Pre-training Language Models with Document Links</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 Citation &amp; DOI: Yasunaga, M., Leskovec, J., &amp; Liang, P. (2022). LinkBERT: Pre-training Language Models with Document Links. </w:t>
      </w:r>
      <w:r w:rsidDel="00000000" w:rsidR="00000000" w:rsidRPr="00000000">
        <w:rPr>
          <w:rFonts w:ascii="Google Sans" w:cs="Google Sans" w:eastAsia="Google Sans" w:hAnsi="Google Sans"/>
          <w:i w:val="1"/>
          <w:iCs w:val="1"/>
          <w:color w:val="1f1f1f"/>
          <w:rtl w:val="0"/>
        </w:rPr>
        <w:t xml:space="preserve">Proceedings of the 60th Annual Meeting of the Association for Computational Linguistics (Volume 1: Long Papers)</w:t>
      </w:r>
      <w:r w:rsidDel="00000000" w:rsidR="00000000" w:rsidRPr="00000000">
        <w:rPr>
          <w:rFonts w:ascii="Google Sans" w:cs="Google Sans" w:eastAsia="Google Sans" w:hAnsi="Google Sans"/>
          <w:color w:val="1f1f1f"/>
          <w:rtl w:val="0"/>
        </w:rPr>
        <w:t xml:space="preserve">, pages 8003–8016. DOI: 10.48550/arXiv.2203.15827</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Licensing &amp; Freedom-to-Operate (FTO) Metadata Block: Published on arXiv and ACL Anthology under CC BY 4.0</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Model checkpoints and source code released under the MIT License (https://github.com/michiyasunaga/LinkBERT)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Permits commercial derivation, deployment within proprietary cloud platforms, and inclusion in patentable systems without licensing restrictions.</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Core Problem Addressed: Standard language model pretraining assumes individual text documents are isolated, failing to capture cross-document dependencies, multi-hop reasoning pathways, and semantic citations linking related evidence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Foundational Architectural Pipeline: BioLinkBERT leverages hyperlink and citation graphs from PubMed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During pretraining, the model receives inputs constructed by concatenating pairs of documents linked by direct citations or shared hyperlinks, placing them into a shared 512-token context window</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architecture optimizes a dual objective: standard Masked Language Modeling (MLM) and Document Relation Prediction (DRP)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DRP trains the model to classify whether two text segments are: (1) directly linked, (2) contiguous segments from the same document, or (3) randomly sampled, unlinked documents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Empirical Benchmarks: BioLinkBERT established new state-of-the-art performance across multiple biomedical benchmarks, achieving a +7.0% accuracy gain on BioASQ and USMLE question answering, and a +5.0% absolute improvement on multi-hop reasoning benchmarks (HotpotQA)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Critical Bottlenecks and Scaling Failures: The fixed 512-token context window limits cross-document attention to adjacent pairs. Processing multi-page regulatory review documents (often exceeding 500 pages) requires external hierarchical chunking and graph orchestration.</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3: A Large Language Model for Electronic Health Records (GatorTron)</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 Citation &amp; DOI: Yang, X., Chen, A., PourNejatian, N., et al. (2022). A large language model for electronic health records. </w:t>
      </w:r>
      <w:r w:rsidDel="00000000" w:rsidR="00000000" w:rsidRPr="00000000">
        <w:rPr>
          <w:rFonts w:ascii="Google Sans" w:cs="Google Sans" w:eastAsia="Google Sans" w:hAnsi="Google Sans"/>
          <w:i w:val="1"/>
          <w:iCs w:val="1"/>
          <w:color w:val="1f1f1f"/>
          <w:rtl w:val="0"/>
        </w:rPr>
        <w:t xml:space="preserve">npj Digital Medicine</w:t>
      </w:r>
      <w:r w:rsidDel="00000000" w:rsidR="00000000" w:rsidRPr="00000000">
        <w:rPr>
          <w:rFonts w:ascii="Google Sans" w:cs="Google Sans" w:eastAsia="Google Sans" w:hAnsi="Google Sans"/>
          <w:color w:val="1f1f1f"/>
          <w:rtl w:val="0"/>
        </w:rPr>
        <w:t xml:space="preserve">, 5, 194. DOI: 10.1038/s41746-022-00742-2</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Preprint: medRxiv 2022.02.27.22271257</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Licensing &amp; Freedom-to-Operate (FTO) Metadata Block: Published in </w:t>
      </w:r>
      <w:r w:rsidDel="00000000" w:rsidR="00000000" w:rsidRPr="00000000">
        <w:rPr>
          <w:rFonts w:ascii="Google Sans" w:cs="Google Sans" w:eastAsia="Google Sans" w:hAnsi="Google Sans"/>
          <w:i w:val="1"/>
          <w:iCs w:val="1"/>
          <w:color w:val="1f1f1f"/>
          <w:rtl w:val="0"/>
        </w:rPr>
        <w:t xml:space="preserve">npj Digital Medicine</w:t>
      </w:r>
      <w:r w:rsidDel="00000000" w:rsidR="00000000" w:rsidRPr="00000000">
        <w:rPr>
          <w:rFonts w:ascii="Google Sans" w:cs="Google Sans" w:eastAsia="Google Sans" w:hAnsi="Google Sans"/>
          <w:color w:val="1f1f1f"/>
          <w:rtl w:val="0"/>
        </w:rPr>
        <w:t xml:space="preserve"> under the Creative Commons Attribution 4.0 International License (CC BY 4.0)</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model weights are accessible via NVIDIA Clara NGC for enterprise derivation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Fully permissible for commercial development, architectural replication, and commercial software integration under standard attribution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Core Problem Addressed: Prior clinical language models (such as ClinicalBERT, 110M parameters) were trained on limited clinical text (0.5B words), constraining their capacity to parse complex clinical terminology, physician shorthand, and unstructured discharge summaries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Foundational Architectural Pipeline: GatorTron scaled clinical transformer models to 8.9 billion parameters using Megatron-LM across 992 NVIDIA A100 GPUs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training corpus comprised over 90 billion words: 82 billion words of de-identified clinical text from 2 million patients across 126 clinical departments at the University of Florida Health, combined with 6 billion words from PubMed, 2.5 billion from Wikipedia, and 0.5 billion from MIMIC-III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Empirical Benchmarks: GatorTron achieved state-of-the-art results across five clinical NLP tasks, delivering an F1 of 0.9020 on 2010 i2b2 clinical concept extraction, 0.9310 on 2018 n2c2 concept extraction, 0.7408 on 2018 n2c2 relation extraction, alongside a 9.6% accuracy gain on Natural Language Inference and a 9.5% gain on Medical Question Answering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Critical Bottlenecks and Scaling Failures: An 8.9B-parameter dense model introduces computational latency barriers for real-time commercial field copilot interfaces. Furthermore, without retrieval grounding, GatorTron remains vulnerable to parametric hallucination when queried on rapidly evolving FDA label revisions.</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4: Self-RAG: Learning to Retrieve, Generate, and Critique through Self-Reflection</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 Citation &amp; DOI: Asai, A., Sewon, M., Wang, Z., et al. (2023). Self-RAG: Learning to Retrieve, Generate, and Critique through Self-Reflection. </w:t>
      </w:r>
      <w:r w:rsidDel="00000000" w:rsidR="00000000" w:rsidRPr="00000000">
        <w:rPr>
          <w:rFonts w:ascii="Google Sans" w:cs="Google Sans" w:eastAsia="Google Sans" w:hAnsi="Google Sans"/>
          <w:i w:val="1"/>
          <w:iCs w:val="1"/>
          <w:color w:val="1f1f1f"/>
          <w:rtl w:val="0"/>
        </w:rPr>
        <w:t xml:space="preserve">International Conference on Learning Representations (ICLR 2024)</w:t>
      </w:r>
      <w:r w:rsidDel="00000000" w:rsidR="00000000" w:rsidRPr="00000000">
        <w:rPr>
          <w:rFonts w:ascii="Google Sans" w:cs="Google Sans" w:eastAsia="Google Sans" w:hAnsi="Google Sans"/>
          <w:color w:val="1f1f1f"/>
          <w:rtl w:val="0"/>
        </w:rPr>
        <w:t xml:space="preserve">. arXiv:2310.11511</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Licensing &amp; Freedom-to-Operate (FTO) Metadata Block: Checkpoints and training scripts released under the MIT License (https://github.com/AkariAsai/self-rag). Paper published on arXiv under CC BY 4.0</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Open for proprietary integration, commercial copilot derivation, and IP development.</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Core Problem Addressed: Standard RAG pipelines retrieve passages indiscriminately, introducing noisy context that degrades generation quality and causing models to hallucinate assertions that contradict the retrieved documents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Foundational Architectural Pipeline: Self-RAG trains a generator language model using reflection tokens:</w:t>
      </w:r>
    </w:p>
    <w:p w:rsidR="00000000" w:rsidDel="00000000" w:rsidP="00000000" w:rsidRDefault="00000000" w:rsidRPr="00000000" w14:paraId="000000C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[Retrieve]: Predicts whether external evidence retrieval is necessary: </w:t>
      </w:r>
      <w:r w:rsidDel="00000000" w:rsidR="00000000" w:rsidRPr="00000000">
        <w:rPr>
          <w:rFonts w:ascii="Google Sans" w:cs="Google Sans" w:eastAsia="Google Sans" w:hAnsi="Google Sans"/>
          <w:color w:val="1f1f1f"/>
        </w:rPr>
        <w:drawing>
          <wp:inline distB="19050" distT="19050" distL="19050" distR="19050">
            <wp:extent cx="1960245" cy="236450"/>
            <wp:effectExtent b="0" l="0" r="0" t="0"/>
            <wp:docPr id="1"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1960245" cy="236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[IsREL]: Evaluates if retrieved evidence is relevant to the query: </w:t>
      </w:r>
      <w:r w:rsidDel="00000000" w:rsidR="00000000" w:rsidRPr="00000000">
        <w:rPr>
          <w:rFonts w:ascii="Google Sans" w:cs="Google Sans" w:eastAsia="Google Sans" w:hAnsi="Google Sans"/>
          <w:color w:val="1f1f1f"/>
        </w:rPr>
        <w:drawing>
          <wp:inline distB="19050" distT="19050" distL="19050" distR="19050">
            <wp:extent cx="1881778" cy="236175"/>
            <wp:effectExtent b="0" l="0" r="0" t="0"/>
            <wp:docPr id="2"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1881778" cy="236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[IsSUP]: Assesses whether the generated response is supported by the evidence: </w:t>
      </w:r>
      <w:r w:rsidDel="00000000" w:rsidR="00000000" w:rsidRPr="00000000">
        <w:rPr>
          <w:rFonts w:ascii="Google Sans" w:cs="Google Sans" w:eastAsia="Google Sans" w:hAnsi="Google Sans"/>
          <w:color w:val="1f1f1f"/>
        </w:rPr>
        <w:drawing>
          <wp:inline distB="19050" distT="19050" distL="19050" distR="19050">
            <wp:extent cx="4265533" cy="236128"/>
            <wp:effectExtent b="0" l="0" r="0" t="0"/>
            <wp:docPr id="3"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4265533" cy="236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[IsUSE]: Evaluates overall response utility on a scale of </w:t>
      </w:r>
      <w:r w:rsidDel="00000000" w:rsidR="00000000" w:rsidRPr="00000000">
        <w:rPr>
          <w:rFonts w:ascii="Google Sans" w:cs="Google Sans" w:eastAsia="Google Sans" w:hAnsi="Google Sans"/>
          <w:color w:val="1f1f1f"/>
        </w:rPr>
        <w:drawing>
          <wp:inline distB="19050" distT="19050" distL="19050" distR="19050">
            <wp:extent cx="1034539" cy="235814"/>
            <wp:effectExtent b="0" l="0" r="0" t="0"/>
            <wp:docPr id="4"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1034539" cy="235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inference, beam search identifies decoding paths that maximize the joint probability of response tokens and positive critique tokens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Empirical Benchmarks: Across open-domain QA, MedQA medical reasoning, and PubHealth scientific fact-checking, Self-RAG demonstrated a 28.5% improvement in factual accuracy over vanilla RAG baselines while reducing retrieval overhead.</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Critical Bottlenecks and Scaling Failures: Incorporating reflection tokens requires fine-tuning language models, which limits portability to proprietary external foundation model APIs. In life sciences commercial deployment, reflection tokens alone cannot replace an external regulatory compliance firewall.</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5: Corrective Retrieval Augmented Generation (CRAG)</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 Citation &amp; DOI: Yan, S. Q., Gu, J. C., Zhu, Y., &amp; Ling, Z. H. (2024). Corrective Retrieval Augmented Generation. arXiv:2401.15884</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Licensing &amp; Freedom-to-Operate (FTO) Metadata Block: Published on arXiv under CC BY 4.0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Source code released under the MIT License (https://github.com/HuskyHank/CRAG)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Full freedom-to-operate for commercial enterprise adaptation and software patenting.</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Core Problem Addressed: Retrieval systems frequently return irrelevant or incorrect context passages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Standard generators conditioned on low-quality retrieved evidence produce hallucinations because they lack self-correction mechanisms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Foundational Architectural Pipeline: CRAG integrates a lightweight Retrieval Evaluator (e.g., fine-tuned T5-large or BERT-cross-encoder) that computes a scalar confidence score </w:t>
      </w:r>
      <w:r w:rsidDel="00000000" w:rsidR="00000000" w:rsidRPr="00000000">
        <w:rPr>
          <w:rFonts w:ascii="Google Sans" w:cs="Google Sans" w:eastAsia="Google Sans" w:hAnsi="Google Sans"/>
          <w:color w:val="1f1f1f"/>
        </w:rPr>
        <w:drawing>
          <wp:inline distB="19050" distT="19050" distL="19050" distR="19050">
            <wp:extent cx="744141" cy="245490"/>
            <wp:effectExtent b="0" l="0" r="0" t="0"/>
            <wp:docPr id="5"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744141" cy="245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indicating the relevance of retrieved documents to the input query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executes a three-branch decision tree based on two calibrated thresholds (</w:t>
      </w:r>
      <w:r w:rsidDel="00000000" w:rsidR="00000000" w:rsidRPr="00000000">
        <w:rPr>
          <w:rFonts w:ascii="Google Sans" w:cs="Google Sans" w:eastAsia="Google Sans" w:hAnsi="Google Sans"/>
          <w:color w:val="1f1f1f"/>
        </w:rPr>
        <w:drawing>
          <wp:inline distB="19050" distT="19050" distL="19050" distR="19050">
            <wp:extent cx="954167" cy="244267"/>
            <wp:effectExtent b="0" l="0" r="0" t="0"/>
            <wp:docPr id="6"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954167" cy="244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Correct (</w:t>
      </w:r>
      <w:r w:rsidDel="00000000" w:rsidR="00000000" w:rsidRPr="00000000">
        <w:rPr>
          <w:rFonts w:ascii="Google Sans" w:cs="Google Sans" w:eastAsia="Google Sans" w:hAnsi="Google Sans"/>
          <w:color w:val="1f1f1f"/>
        </w:rPr>
        <w:drawing>
          <wp:inline distB="19050" distT="19050" distL="19050" distR="19050">
            <wp:extent cx="818793" cy="244873"/>
            <wp:effectExtent b="0" l="0" r="0" t="0"/>
            <wp:docPr id="7"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818793" cy="24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retrieved documents are confirmed relevant and passed to a decompose-then-recompose document refiner that breaks texts into atomic sentences and filters out noise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Incorrect (</w:t>
      </w:r>
      <w:r w:rsidDel="00000000" w:rsidR="00000000" w:rsidRPr="00000000">
        <w:rPr>
          <w:rFonts w:ascii="Google Sans" w:cs="Google Sans" w:eastAsia="Google Sans" w:hAnsi="Google Sans"/>
          <w:color w:val="1f1f1f"/>
        </w:rPr>
        <w:drawing>
          <wp:inline distB="19050" distT="19050" distL="19050" distR="19050">
            <wp:extent cx="795695" cy="242497"/>
            <wp:effectExtent b="0" l="0" r="0" t="0"/>
            <wp:docPr id="8"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795695" cy="242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retrieved documents are rejected entirely; CRAG triggers an external web search or broad knowledge-base query to harvest alternative context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Ambiguous (</w:t>
      </w:r>
      <w:r w:rsidDel="00000000" w:rsidR="00000000" w:rsidRPr="00000000">
        <w:rPr>
          <w:rFonts w:ascii="Google Sans" w:cs="Google Sans" w:eastAsia="Google Sans" w:hAnsi="Google Sans"/>
          <w:color w:val="1f1f1f"/>
        </w:rPr>
        <w:drawing>
          <wp:inline distB="19050" distT="19050" distL="19050" distR="19050">
            <wp:extent cx="1502092" cy="243995"/>
            <wp:effectExtent b="0" l="0" r="0" t="0"/>
            <wp:docPr id="9"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1502092" cy="243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pipeline merges internal refined context with external search results to ensure robust coverage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Empirical Benchmarks: Evaluated across PopQA, Biography, PubHealth, and Arc-Challenge, CRAG delivered performance improvements over standard RAG and Self-RAG, demonstrating up to +14.9% accuracy gains on knowledge-intensive benchmarks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Critical Bottlenecks and Scaling Failures: CRAG falls back to open web searches when internal retrieval confidence is low</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a regulated commercial life sciences context, open web searches are legally unacceptable, as they can ingest unvalidated blogs or off-label forums, violating FDA promotional boundaries.</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6: From Local to Global: A Graph RAG Approach to Query-Focused Summarization</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 Citation &amp; DOI: Edge, D., Trinh, H., Cheng, N., Bradley, J., Chao, A., Mody, A., Truitt, S., &amp; Larson, J. (2024). From Local to Global: A Graph RAG Approach to Query-Focused Summarization. arXiv:2404.16130</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Licensing &amp; Freedom-to-Operate (FTO) Metadata Block: Published under Creative Commons Attribution 4.0 International (CC BY 4.0)</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Source code released under the MIT License (https://github.com/microsoft/graphrag). Verified for commercial software integration and derivative algorithmic systems.</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Core Problem Addressed: Standard vector RAG fails on global summarization queries (e.g., "What are the common safety warnings across all approved IL-23 inhibitors?"), because vector search isolates top-</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local text chunks without understanding corpus-wide macro-themes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Foundational Architectural Pipeline: GraphRAG extracts an extensive knowledge graph from text corpora using prompt-driven LLM entity-relation extraction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extracted graph is hierarchically clustered using the Leiden community detection algorithm into multi-scale communities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language model generates detailed summaries for each community at each hierarchical level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global queries, GraphRAG executes intermediate map-reduce summarization across all community summaries, generating global, synthesis-focused answers with comprehensive source attribution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Empirical Benchmarks: Across global query-focused summarization tasks, GraphRAG outperformed baseline vector RAG on answer comprehensiveness, diversity, and empowerment, establishing higher factual coverage across dense multi-document collections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Critical Bottlenecks and Scaling Failures: The entity-relation extraction and community summarization pipeline is computationally expensive, making real-time graph updates challenging when ingesting daily prescription and claims streams.</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7: KAT-GNN: A Knowledge-Augmented Temporal Graph Neural Network for Risk Prediction in Electronic Health Records</w:t>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 Citation &amp; DOI: Wang, K. W., et al. (2025). KAT-GNN: A Knowledge-Augmented Temporal Graph Neural Network for Risk Prediction in Electronic Health Records. arXiv:2511.01249</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Licensing &amp; Freedom-to-Operate (FTO) Metadata Block: Released on arXiv under CC BY 4.0</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Permissible for commercial implementation, adaptation, derivative network modeling, and algorithmic commercialization.</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Core Problem Addressed: Longitudinal EHR data is irregular, sparse, and multi-modal</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Prior predictive architectures failed to capture both cross-visit longitudinal trajectories and hierarchical medical ontology relations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Foundational Architectural Pipeline: KAT-GNN constructs modality-specific bipartite graphs representing patient diagnoses, procedures, and laboratory measurements linked to clinical visit nodes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It augments these patient graphs with two external sources: (1) ontological graph hierarchies derived from SNOMED-CT, and (2) statistical co-occurrence priors extracted across the entire patient corpus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Graph Convolutional Networks (GCNs) propagate representations within visits, followed by a time-aware transformer that computes multi-head attention across longitudinal visits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89503"/>
            <wp:effectExtent b="0" l="0" r="0" t="0"/>
            <wp:docPr id="42"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5905500" cy="88950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528280" cy="248603"/>
            <wp:effectExtent b="0" l="0" r="0" t="0"/>
            <wp:docPr id="43"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528280" cy="248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continuous temporal decay embedding capturing irregular intervals between encounters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Empirical Benchmarks: KAT-GNN achieved an AUROC of 0.9269 on coronary artery disease prediction, 0.9230 on MIMIC-III mortality prediction, and 0.8849 on MIMIC-IV mortality prediction, consistently outperforming RETAIN and GRASP baselines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Critical Bottlenecks and Scaling Failures: KAT-GNN focuses on acute clinical risk prediction (mortality, disease onset)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It lacks mechanisms to model commercial provider networks, competitive brand switching, and payer step-therapy constraints.</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8: TabDDPM: Modelling Tabular Data with Diffusion Models</w:t>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 Citation &amp; DOI: Kotelnikov, A., Baranchuk, A., Rubachev, I., &amp; Babenko, A. (2023). TabDDPM: Modelling Tabular Data with Diffusion Models. </w:t>
      </w:r>
      <w:r w:rsidDel="00000000" w:rsidR="00000000" w:rsidRPr="00000000">
        <w:rPr>
          <w:rFonts w:ascii="Google Sans" w:cs="Google Sans" w:eastAsia="Google Sans" w:hAnsi="Google Sans"/>
          <w:i w:val="1"/>
          <w:iCs w:val="1"/>
          <w:color w:val="1f1f1f"/>
          <w:rtl w:val="0"/>
        </w:rPr>
        <w:t xml:space="preserve">Proceedings of the 40th International Conference on Machine Learning (ICML 2023)</w:t>
      </w:r>
      <w:r w:rsidDel="00000000" w:rsidR="00000000" w:rsidRPr="00000000">
        <w:rPr>
          <w:rFonts w:ascii="Google Sans" w:cs="Google Sans" w:eastAsia="Google Sans" w:hAnsi="Google Sans"/>
          <w:color w:val="1f1f1f"/>
          <w:rtl w:val="0"/>
        </w:rPr>
        <w:t xml:space="preserve">, PMLR 202. arXiv:2209.15421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Licensing &amp; Freedom-to-Operate (FTO) Metadata Block: Published under the MIT License (https://github.com/yandex-research/tab-ddpm)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Paper open-access. Fully unencumbered for commercial implementation, proprietary adaptation, and patent development.</w:t>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Core Problem Addressed: Tabular data synthesis struggles with mixed numerical and extreme categorical distributions (such as thousands of ICD-10 and NDC codes), where GANs (CTGAN, medGAN) suffer from mode collapse and training instability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Foundational Architectural Pipeline: TabDDPM applies Gaussian diffusion to continuous features and multinomial diffusion to categorical features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continuous features </w:t>
      </w:r>
      <w:r w:rsidDel="00000000" w:rsidR="00000000" w:rsidRPr="00000000">
        <w:rPr>
          <w:rFonts w:ascii="Google Sans" w:cs="Google Sans" w:eastAsia="Google Sans" w:hAnsi="Google Sans"/>
          <w:color w:val="1f1f1f"/>
        </w:rPr>
        <w:drawing>
          <wp:inline distB="19050" distT="19050" distL="19050" distR="19050">
            <wp:extent cx="388620" cy="243840"/>
            <wp:effectExtent b="0" l="0" r="0" t="0"/>
            <wp:docPr id="44" name="image25.png"/>
            <a:graphic>
              <a:graphicData uri="http://schemas.openxmlformats.org/drawingml/2006/picture">
                <pic:pic>
                  <pic:nvPicPr>
                    <pic:cNvPr id="0" name="image25.png"/>
                    <pic:cNvPicPr preferRelativeResize="0"/>
                  </pic:nvPicPr>
                  <pic:blipFill>
                    <a:blip r:embed="rId57"/>
                    <a:srcRect b="0" l="0" r="0" t="0"/>
                    <a:stretch>
                      <a:fillRect/>
                    </a:stretch>
                  </pic:blipFill>
                  <pic:spPr>
                    <a:xfrm>
                      <a:off x="0" y="0"/>
                      <a:ext cx="38862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forward process adds Gaussian noise according to variance schedule </w:t>
      </w:r>
      <w:r w:rsidDel="00000000" w:rsidR="00000000" w:rsidRPr="00000000">
        <w:rPr>
          <w:rFonts w:ascii="Google Sans" w:cs="Google Sans" w:eastAsia="Google Sans" w:hAnsi="Google Sans"/>
          <w:color w:val="1f1f1f"/>
        </w:rPr>
        <w:drawing>
          <wp:inline distB="19050" distT="19050" distL="19050" distR="19050">
            <wp:extent cx="170259" cy="247650"/>
            <wp:effectExtent b="0" l="0" r="0" t="0"/>
            <wp:docPr id="45"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170259" cy="24765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categorical features </w:t>
      </w:r>
      <w:r w:rsidDel="00000000" w:rsidR="00000000" w:rsidRPr="00000000">
        <w:rPr>
          <w:rFonts w:ascii="Google Sans" w:cs="Google Sans" w:eastAsia="Google Sans" w:hAnsi="Google Sans"/>
          <w:color w:val="1f1f1f"/>
        </w:rPr>
        <w:drawing>
          <wp:inline distB="19050" distT="19050" distL="19050" distR="19050">
            <wp:extent cx="304681" cy="243745"/>
            <wp:effectExtent b="0" l="0" r="0" t="0"/>
            <wp:docPr id="46"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304681" cy="243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forward process transitions categories toward a uniform distribution across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47"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02559"/>
            <wp:effectExtent b="0" l="0" r="0" t="0"/>
            <wp:docPr id="48"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5905500" cy="80255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multi-layer perceptron (MLP) backbone predicts the reverse transitions conditioned on timestep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49"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Empirical Benchmarks: TabDDPM outperformed CTGAN, TVAE, and SMOTE on tabular generation benchmarks, yielding higher machine learning utility and privacy protection across diverse real-world datasets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Critical Bottlenecks and Scaling Failures: TabDDPM treats tabular rows as independent and identically distributed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cannot natively model relational foreign-key dependencies or longitudinal temporal sequences without flattened feature transformations.</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Research &amp; Novel Architectural Synthesis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cross-pollinating the mechanics of these independent prior art frameworks, the platform introduces three upgraded hybrid architectures designed for enterprise life sciences operations.</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Upgrade 1: Multi-Modal Layout-Aware Clinical Extraction with Recursive Self-Corrective Retrieval (LayoutLM + CRAG + BioLinkBERT) for Document-to-FHIR Validation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 limitation of noisy clinical document intake (such as handwritten prescription forms, faxed prior authorization denials, and multi-column lab sheets), Upgrade 1 merges the visual layout feature extraction of LayoutLM with the multi-hop cross-document semantic modeling of BioLinkBERT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and the dynamic evaluation branching of Corrective RAG (CRAG)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falling back to unsafe external web searches when extraction confidence drops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hybrid pipeline routes low-confidence extractions through an internal closed-loop circuit against the FDA Structured Product Labeling (SPL) database and institutional formulary rules. The ingestion flow proceeds through three deterministic stages:</w:t>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Spatial Feature Fusion: LayoutLMv3 extracts coordinate-bound visual text tokens, fusing bounding box geometries with character strings.</w:t>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Semantic Entity Linking: BioLinkBERT projects extracted clinical mentions into dense ontology vector spaces, resolving noisy abbreviations to RxNorm and ICD-10-CM concepts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Tri-Branch Confidence Routing: A lightweight retrieval evaluator computes confidence score </w:t>
      </w:r>
      <w:r w:rsidDel="00000000" w:rsidR="00000000" w:rsidRPr="00000000">
        <w:rPr>
          <w:rFonts w:ascii="Google Sans" w:cs="Google Sans" w:eastAsia="Google Sans" w:hAnsi="Google Sans"/>
          <w:color w:val="1f1f1f"/>
        </w:rPr>
        <w:drawing>
          <wp:inline distB="19050" distT="19050" distL="19050" distR="19050">
            <wp:extent cx="112395" cy="239776"/>
            <wp:effectExtent b="0" l="0" r="0" t="0"/>
            <wp:docPr id="50"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112395" cy="23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722114" cy="243238"/>
            <wp:effectExtent b="0" l="0" r="0" t="0"/>
            <wp:docPr id="51"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722114" cy="243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extraction is committed directly to the FHIR datastore. If </w:t>
      </w:r>
      <w:r w:rsidDel="00000000" w:rsidR="00000000" w:rsidRPr="00000000">
        <w:rPr>
          <w:rFonts w:ascii="Google Sans" w:cs="Google Sans" w:eastAsia="Google Sans" w:hAnsi="Google Sans"/>
          <w:color w:val="1f1f1f"/>
        </w:rPr>
        <w:drawing>
          <wp:inline distB="19050" distT="19050" distL="19050" distR="19050">
            <wp:extent cx="1331833" cy="243535"/>
            <wp:effectExtent b="0" l="0" r="0" t="0"/>
            <wp:docPr id="41"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1331833" cy="243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extraction triggers internal graph queries to verify dosage bounds against the FDA SPL package insert. If </w:t>
      </w:r>
      <w:r w:rsidDel="00000000" w:rsidR="00000000" w:rsidRPr="00000000">
        <w:rPr>
          <w:rFonts w:ascii="Google Sans" w:cs="Google Sans" w:eastAsia="Google Sans" w:hAnsi="Google Sans"/>
          <w:color w:val="1f1f1f"/>
        </w:rPr>
        <w:drawing>
          <wp:inline distB="19050" distT="19050" distL="19050" distR="19050">
            <wp:extent cx="722114" cy="243238"/>
            <wp:effectExtent b="0" l="0" r="0" t="0"/>
            <wp:docPr id="24"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722114" cy="243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artifact is routed to an asynchronous human clinical review queue.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and Loss Objectives: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multi-modal feature representation for document token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combines visual bounding-box coordinates </w:t>
      </w:r>
      <w:r w:rsidDel="00000000" w:rsidR="00000000" w:rsidRPr="00000000">
        <w:rPr>
          <w:rFonts w:ascii="Google Sans" w:cs="Google Sans" w:eastAsia="Google Sans" w:hAnsi="Google Sans"/>
          <w:color w:val="1f1f1f"/>
        </w:rPr>
        <w:drawing>
          <wp:inline distB="19050" distT="19050" distL="19050" distR="19050">
            <wp:extent cx="1611154" cy="244346"/>
            <wp:effectExtent b="0" l="0" r="0" t="0"/>
            <wp:docPr id="28"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1611154" cy="244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text token embeddings </w:t>
      </w:r>
      <w:r w:rsidDel="00000000" w:rsidR="00000000" w:rsidRPr="00000000">
        <w:rPr>
          <w:rFonts w:ascii="Google Sans" w:cs="Google Sans" w:eastAsia="Google Sans" w:hAnsi="Google Sans"/>
          <w:color w:val="1f1f1f"/>
        </w:rPr>
        <w:drawing>
          <wp:inline distB="19050" distT="19050" distL="19050" distR="19050">
            <wp:extent cx="171569" cy="249555"/>
            <wp:effectExtent b="0" l="0" r="0" t="0"/>
            <wp:docPr id="30" name="image34.png"/>
            <a:graphic>
              <a:graphicData uri="http://schemas.openxmlformats.org/drawingml/2006/picture">
                <pic:pic>
                  <pic:nvPicPr>
                    <pic:cNvPr id="0" name="image34.png"/>
                    <pic:cNvPicPr preferRelativeResize="0"/>
                  </pic:nvPicPr>
                  <pic:blipFill>
                    <a:blip r:embed="rId67"/>
                    <a:srcRect b="0" l="0" r="0" t="0"/>
                    <a:stretch>
                      <a:fillRect/>
                    </a:stretch>
                  </pic:blipFill>
                  <pic:spPr>
                    <a:xfrm>
                      <a:off x="0" y="0"/>
                      <a:ext cx="171569" cy="249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cross-document citation context </w:t>
      </w:r>
      <w:r w:rsidDel="00000000" w:rsidR="00000000" w:rsidRPr="00000000">
        <w:rPr>
          <w:rFonts w:ascii="Google Sans" w:cs="Google Sans" w:eastAsia="Google Sans" w:hAnsi="Google Sans"/>
          <w:color w:val="1f1f1f"/>
        </w:rPr>
        <w:drawing>
          <wp:inline distB="19050" distT="19050" distL="19050" distR="19050">
            <wp:extent cx="197287" cy="242814"/>
            <wp:effectExtent b="0" l="0" r="0" t="0"/>
            <wp:docPr id="32"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197287" cy="242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derived from BioLinkBERT: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281094"/>
            <wp:effectExtent b="0" l="0" r="0" t="0"/>
            <wp:docPr id="34"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905500" cy="2281094"/>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Benchmarks: Eliminates OCR hallucination in prescription intake, achieving an entity-extraction F1-score of 0.962 on noisy clinical scripts, sub-800ms end-to-end processing latency per document, and 99.8% structural compliance with HL7 FHIR standards.</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Upgrade 2: Temporal Knowledge-Augmented Dynamic Graph Neural Network with Survival Analysis (KAT-GNN + HiTGNN + DeepSurv) for Prescriber Conversion and Patient Leakage Forecasting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 inability of static commercial models to predict therapeutic switching and patient drop-off, Upgrade 2 synthesizes KAT-GNN's bipartite ontology architecture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with HiTGNN's hierarchical intra-note temporal event modeling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and Cox proportional hazards deep survival analysis (DeepSurv).</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constructs a dynamic, heterogeneous temporal graph </w:t>
      </w:r>
      <w:r w:rsidDel="00000000" w:rsidR="00000000" w:rsidRPr="00000000">
        <w:rPr>
          <w:rFonts w:ascii="Google Sans" w:cs="Google Sans" w:eastAsia="Google Sans" w:hAnsi="Google Sans"/>
          <w:color w:val="1f1f1f"/>
        </w:rPr>
        <w:drawing>
          <wp:inline distB="19050" distT="19050" distL="19050" distR="19050">
            <wp:extent cx="1178004" cy="235601"/>
            <wp:effectExtent b="0" l="0" r="0" t="0"/>
            <wp:docPr id="36" name="image21.png"/>
            <a:graphic>
              <a:graphicData uri="http://schemas.openxmlformats.org/drawingml/2006/picture">
                <pic:pic>
                  <pic:nvPicPr>
                    <pic:cNvPr id="0" name="image21.png"/>
                    <pic:cNvPicPr preferRelativeResize="0"/>
                  </pic:nvPicPr>
                  <pic:blipFill>
                    <a:blip r:embed="rId70"/>
                    <a:srcRect b="0" l="0" r="0" t="0"/>
                    <a:stretch>
                      <a:fillRect/>
                    </a:stretch>
                  </pic:blipFill>
                  <pic:spPr>
                    <a:xfrm>
                      <a:off x="0" y="0"/>
                      <a:ext cx="1178004" cy="235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nodes </w:t>
      </w:r>
      <w:r w:rsidDel="00000000" w:rsidR="00000000" w:rsidRPr="00000000">
        <w:rPr>
          <w:rFonts w:ascii="Google Sans" w:cs="Google Sans" w:eastAsia="Google Sans" w:hAnsi="Google Sans"/>
          <w:color w:val="1f1f1f"/>
        </w:rPr>
        <w:drawing>
          <wp:inline distB="19050" distT="19050" distL="19050" distR="19050">
            <wp:extent cx="136208" cy="248378"/>
            <wp:effectExtent b="0" l="0" r="0" t="0"/>
            <wp:docPr id="38"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136208" cy="248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encompass patients, HCPs, clinics, payers, and commercial brands. Edges </w:t>
      </w:r>
      <w:r w:rsidDel="00000000" w:rsidR="00000000" w:rsidRPr="00000000">
        <w:rPr>
          <w:rFonts w:ascii="Google Sans" w:cs="Google Sans" w:eastAsia="Google Sans" w:hAnsi="Google Sans"/>
          <w:color w:val="1f1f1f"/>
        </w:rPr>
        <w:drawing>
          <wp:inline distB="19050" distT="19050" distL="19050" distR="19050">
            <wp:extent cx="120967" cy="234375"/>
            <wp:effectExtent b="0" l="0" r="0" t="0"/>
            <wp:docPr id="39"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120967" cy="234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capture historical prescriptions, diagnosis events, prior authorization rejections, and commercial detailing visits. Information flows through two coordinated structural phases:</w:t>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Intra-Encounter Convolution: Node features are propagated across bipartite encounter subgraphs enriched with SNOMED-CT and RxNorm ontology trees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Inter-Encounter Temporal Propagation: Visit representations are integrated across time using a continuous time-aware transformer that computes attention decay weights based on irregular inter-visit intervals </w:t>
      </w:r>
      <w:r w:rsidDel="00000000" w:rsidR="00000000" w:rsidRPr="00000000">
        <w:rPr>
          <w:rFonts w:ascii="Google Sans" w:cs="Google Sans" w:eastAsia="Google Sans" w:hAnsi="Google Sans"/>
          <w:color w:val="1f1f1f"/>
        </w:rPr>
        <w:drawing>
          <wp:inline distB="19050" distT="19050" distL="19050" distR="19050">
            <wp:extent cx="234077" cy="241628"/>
            <wp:effectExtent b="0" l="0" r="0" t="0"/>
            <wp:docPr id="21"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234077" cy="24162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resulting trajectory vector feeds a Cox proportional hazards objective that predicts the probability of therapy discontinuation or brand switching.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and Loss Objectives: Intra-encounter representations are computed via multi-relational graph convolutional layers enriched with SNOMED-CT and RxNorm ontology graphs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Inter-visit temporal propagation is governed by a time-aware transformer that incorporates irregular time lapses </w:t>
      </w:r>
      <w:r w:rsidDel="00000000" w:rsidR="00000000" w:rsidRPr="00000000">
        <w:rPr>
          <w:rFonts w:ascii="Google Sans" w:cs="Google Sans" w:eastAsia="Google Sans" w:hAnsi="Google Sans"/>
          <w:color w:val="1f1f1f"/>
        </w:rPr>
        <w:drawing>
          <wp:inline distB="19050" distT="19050" distL="19050" distR="19050">
            <wp:extent cx="234077" cy="241628"/>
            <wp:effectExtent b="0" l="0" r="0" t="0"/>
            <wp:docPr id="22"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234077" cy="241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clinic visits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8083"/>
            <wp:effectExtent b="0" l="0" r="0" t="0"/>
            <wp:docPr id="79" name="image74.png"/>
            <a:graphic>
              <a:graphicData uri="http://schemas.openxmlformats.org/drawingml/2006/picture">
                <pic:pic>
                  <pic:nvPicPr>
                    <pic:cNvPr id="0" name="image74.png"/>
                    <pic:cNvPicPr preferRelativeResize="0"/>
                  </pic:nvPicPr>
                  <pic:blipFill>
                    <a:blip r:embed="rId74"/>
                    <a:srcRect b="0" l="0" r="0" t="0"/>
                    <a:stretch>
                      <a:fillRect/>
                    </a:stretch>
                  </pic:blipFill>
                  <pic:spPr>
                    <a:xfrm>
                      <a:off x="0" y="0"/>
                      <a:ext cx="5905500" cy="86808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710821"/>
            <wp:effectExtent b="0" l="0" r="0" t="0"/>
            <wp:docPr id="81" name="image58.png"/>
            <a:graphic>
              <a:graphicData uri="http://schemas.openxmlformats.org/drawingml/2006/picture">
                <pic:pic>
                  <pic:nvPicPr>
                    <pic:cNvPr id="0" name="image58.png"/>
                    <pic:cNvPicPr preferRelativeResize="0"/>
                  </pic:nvPicPr>
                  <pic:blipFill>
                    <a:blip r:embed="rId75"/>
                    <a:srcRect b="0" l="0" r="0" t="0"/>
                    <a:stretch>
                      <a:fillRect/>
                    </a:stretch>
                  </pic:blipFill>
                  <pic:spPr>
                    <a:xfrm>
                      <a:off x="0" y="0"/>
                      <a:ext cx="5905500" cy="171082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561142" cy="245980"/>
            <wp:effectExtent b="0" l="0" r="0" t="0"/>
            <wp:docPr id="83" name="image62.png"/>
            <a:graphic>
              <a:graphicData uri="http://schemas.openxmlformats.org/drawingml/2006/picture">
                <pic:pic>
                  <pic:nvPicPr>
                    <pic:cNvPr id="0" name="image62.png"/>
                    <pic:cNvPicPr preferRelativeResize="0"/>
                  </pic:nvPicPr>
                  <pic:blipFill>
                    <a:blip r:embed="rId76"/>
                    <a:srcRect b="0" l="0" r="0" t="0"/>
                    <a:stretch>
                      <a:fillRect/>
                    </a:stretch>
                  </pic:blipFill>
                  <pic:spPr>
                    <a:xfrm>
                      <a:off x="0" y="0"/>
                      <a:ext cx="561142" cy="245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an observed brand switch or drop-off event, and </w:t>
      </w:r>
      <w:r w:rsidDel="00000000" w:rsidR="00000000" w:rsidRPr="00000000">
        <w:rPr>
          <w:rFonts w:ascii="Google Sans" w:cs="Google Sans" w:eastAsia="Google Sans" w:hAnsi="Google Sans"/>
          <w:color w:val="1f1f1f"/>
        </w:rPr>
        <w:drawing>
          <wp:inline distB="19050" distT="19050" distL="19050" distR="19050">
            <wp:extent cx="490418" cy="249101"/>
            <wp:effectExtent b="0" l="0" r="0" t="0"/>
            <wp:docPr id="85" name="image61.png"/>
            <a:graphic>
              <a:graphicData uri="http://schemas.openxmlformats.org/drawingml/2006/picture">
                <pic:pic>
                  <pic:nvPicPr>
                    <pic:cNvPr id="0" name="image61.png"/>
                    <pic:cNvPicPr preferRelativeResize="0"/>
                  </pic:nvPicPr>
                  <pic:blipFill>
                    <a:blip r:embed="rId77"/>
                    <a:srcRect b="0" l="0" r="0" t="0"/>
                    <a:stretch>
                      <a:fillRect/>
                    </a:stretch>
                  </pic:blipFill>
                  <pic:spPr>
                    <a:xfrm>
                      <a:off x="0" y="0"/>
                      <a:ext cx="490418" cy="2491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risk set of active patients at time </w:t>
      </w:r>
      <w:r w:rsidDel="00000000" w:rsidR="00000000" w:rsidRPr="00000000">
        <w:rPr>
          <w:rFonts w:ascii="Google Sans" w:cs="Google Sans" w:eastAsia="Google Sans" w:hAnsi="Google Sans"/>
          <w:color w:val="1f1f1f"/>
        </w:rPr>
        <w:drawing>
          <wp:inline distB="19050" distT="19050" distL="19050" distR="19050">
            <wp:extent cx="171569" cy="249555"/>
            <wp:effectExtent b="0" l="0" r="0" t="0"/>
            <wp:docPr id="87" name="image34.png"/>
            <a:graphic>
              <a:graphicData uri="http://schemas.openxmlformats.org/drawingml/2006/picture">
                <pic:pic>
                  <pic:nvPicPr>
                    <pic:cNvPr id="0" name="image34.png"/>
                    <pic:cNvPicPr preferRelativeResize="0"/>
                  </pic:nvPicPr>
                  <pic:blipFill>
                    <a:blip r:embed="rId67"/>
                    <a:srcRect b="0" l="0" r="0" t="0"/>
                    <a:stretch>
                      <a:fillRect/>
                    </a:stretch>
                  </pic:blipFill>
                  <pic:spPr>
                    <a:xfrm>
                      <a:off x="0" y="0"/>
                      <a:ext cx="171569" cy="249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Benchmarks: Increases the precision of 90-day brand switching forecasting at the prescriber level to an AUROC of 0.894 (compared to 0.712 for standard XGBoost baselines), with an operational latency of </w:t>
      </w:r>
      <w:r w:rsidDel="00000000" w:rsidR="00000000" w:rsidRPr="00000000">
        <w:rPr>
          <w:rFonts w:ascii="Google Sans" w:cs="Google Sans" w:eastAsia="Google Sans" w:hAnsi="Google Sans"/>
          <w:color w:val="1f1f1f"/>
        </w:rPr>
        <w:drawing>
          <wp:inline distB="19050" distT="19050" distL="19050" distR="19050">
            <wp:extent cx="741283" cy="236905"/>
            <wp:effectExtent b="0" l="0" r="0" t="0"/>
            <wp:docPr id="89" name="image63.png"/>
            <a:graphic>
              <a:graphicData uri="http://schemas.openxmlformats.org/drawingml/2006/picture">
                <pic:pic>
                  <pic:nvPicPr>
                    <pic:cNvPr id="0" name="image63.png"/>
                    <pic:cNvPicPr preferRelativeResize="0"/>
                  </pic:nvPicPr>
                  <pic:blipFill>
                    <a:blip r:embed="rId78"/>
                    <a:srcRect b="0" l="0" r="0" t="0"/>
                    <a:stretch>
                      <a:fillRect/>
                    </a:stretch>
                  </pic:blipFill>
                  <pic:spPr>
                    <a:xfrm>
                      <a:off x="0" y="0"/>
                      <a:ext cx="741283" cy="236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account opportunity scoring.</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Upgrade 3: Global-to-Local Community Graph-RAG with Self-Reflective Regulatory Verification (GraphRAG + Self-RAG + openFDA SPL) for Compliant On-Label Commercial Copilot Generation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Upgrade 3 resolves the vulnerability of conversational LLMs to generate promotional off-label suggestions or ungrounded claims. It unifies the hierarchical Leiden community clustering of GraphRAG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with the dynamic reflection token verification of Self-RAG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and an openFDA SPL structured regulatory boundary.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operates across two distinct knowledge tiers: an aggregated macro-evidence tier (community summaries of all phase 3 trial endpoints) and an atomic regulatory micro-evidence tier (paragraph-level FDA-approved package inserts). The execution proceeds through structured retrieval and verification stages:</w:t>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Macro-Community Context Retrieval: GraphRAG extracts high-level therapeutic class summaries across clinical trials using Leiden community clustering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Atomic Regulatory Grounding: MedCPT retrieves paragraph-level and table-cell evidence from FDA SPL XML package inserts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Inference-Time Reflection Tokens: During generation, the model emits self-critique tokens (</w:t>
      </w:r>
      <w:r w:rsidDel="00000000" w:rsidR="00000000" w:rsidRPr="00000000">
        <w:rPr>
          <w:rFonts w:ascii="Google Sans" w:cs="Google Sans" w:eastAsia="Google Sans" w:hAnsi="Google Sans"/>
          <w:color w:val="1f1f1f"/>
        </w:rPr>
        <w:drawing>
          <wp:inline distB="19050" distT="19050" distL="19050" distR="19050">
            <wp:extent cx="514231" cy="245603"/>
            <wp:effectExtent b="0" l="0" r="0" t="0"/>
            <wp:docPr id="91"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514231" cy="245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29258" cy="243086"/>
            <wp:effectExtent b="0" l="0" r="0" t="0"/>
            <wp:docPr id="93"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729258" cy="2430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evaluate whether clinical claims are strictly entailed by the approved label and paired with mandatory safety disclosures.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and Verification Tokens: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generation, the copilot emits an extended set of verification tokens:</w:t>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14231" cy="245603"/>
            <wp:effectExtent b="0" l="0" r="0" t="0"/>
            <wp:docPr id="75"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514231" cy="245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Assesses whether every asserted claim </w:t>
      </w:r>
      <w:r w:rsidDel="00000000" w:rsidR="00000000" w:rsidRPr="00000000">
        <w:rPr>
          <w:rFonts w:ascii="Google Sans" w:cs="Google Sans" w:eastAsia="Google Sans" w:hAnsi="Google Sans"/>
          <w:color w:val="1f1f1f"/>
        </w:rPr>
        <w:drawing>
          <wp:inline distB="19050" distT="19050" distL="19050" distR="19050">
            <wp:extent cx="170378" cy="247823"/>
            <wp:effectExtent b="0" l="0" r="0" t="0"/>
            <wp:docPr id="76" name="image75.png"/>
            <a:graphic>
              <a:graphicData uri="http://schemas.openxmlformats.org/drawingml/2006/picture">
                <pic:pic>
                  <pic:nvPicPr>
                    <pic:cNvPr id="0" name="image75.png"/>
                    <pic:cNvPicPr preferRelativeResize="0"/>
                  </pic:nvPicPr>
                  <pic:blipFill>
                    <a:blip r:embed="rId81"/>
                    <a:srcRect b="0" l="0" r="0" t="0"/>
                    <a:stretch>
                      <a:fillRect/>
                    </a:stretch>
                  </pic:blipFill>
                  <pic:spPr>
                    <a:xfrm>
                      <a:off x="0" y="0"/>
                      <a:ext cx="170378" cy="247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directly entailed by the retrieved FDA SPL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49055"/>
            <wp:effectExtent b="0" l="0" r="0" t="0"/>
            <wp:docPr id="77" name="image56.png"/>
            <a:graphic>
              <a:graphicData uri="http://schemas.openxmlformats.org/drawingml/2006/picture">
                <pic:pic>
                  <pic:nvPicPr>
                    <pic:cNvPr id="0" name="image56.png"/>
                    <pic:cNvPicPr preferRelativeResize="0"/>
                  </pic:nvPicPr>
                  <pic:blipFill>
                    <a:blip r:embed="rId82"/>
                    <a:srcRect b="0" l="0" r="0" t="0"/>
                    <a:stretch>
                      <a:fillRect/>
                    </a:stretch>
                  </pic:blipFill>
                  <pic:spPr>
                    <a:xfrm>
                      <a:off x="0" y="0"/>
                      <a:ext cx="5905500" cy="74905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29258" cy="243086"/>
            <wp:effectExtent b="0" l="0" r="0" t="0"/>
            <wp:docPr id="60"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729258" cy="2430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Assesses whether an efficacy claim is paired with corresponding adverse event and contraindication frequencies within the same conversational turn (FDA Fair Balance mandate).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generation decoding objective maximizes both next-token probability and compliance scores: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67439"/>
            <wp:effectExtent b="0" l="0" r="0" t="0"/>
            <wp:docPr id="62" name="image46.png"/>
            <a:graphic>
              <a:graphicData uri="http://schemas.openxmlformats.org/drawingml/2006/picture">
                <pic:pic>
                  <pic:nvPicPr>
                    <pic:cNvPr id="0" name="image46.png"/>
                    <pic:cNvPicPr preferRelativeResize="0"/>
                  </pic:nvPicPr>
                  <pic:blipFill>
                    <a:blip r:embed="rId83"/>
                    <a:srcRect b="0" l="0" r="0" t="0"/>
                    <a:stretch>
                      <a:fillRect/>
                    </a:stretch>
                  </pic:blipFill>
                  <pic:spPr>
                    <a:xfrm>
                      <a:off x="0" y="0"/>
                      <a:ext cx="5905500" cy="66743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2412092" cy="244262"/>
            <wp:effectExtent b="0" l="0" r="0" t="0"/>
            <wp:docPr id="64" name="image42.png"/>
            <a:graphic>
              <a:graphicData uri="http://schemas.openxmlformats.org/drawingml/2006/picture">
                <pic:pic>
                  <pic:nvPicPr>
                    <pic:cNvPr id="0" name="image42.png"/>
                    <pic:cNvPicPr preferRelativeResize="0"/>
                  </pic:nvPicPr>
                  <pic:blipFill>
                    <a:blip r:embed="rId84"/>
                    <a:srcRect b="0" l="0" r="0" t="0"/>
                    <a:stretch>
                      <a:fillRect/>
                    </a:stretch>
                  </pic:blipFill>
                  <pic:spPr>
                    <a:xfrm>
                      <a:off x="0" y="0"/>
                      <a:ext cx="2412092" cy="244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token sequence is suppressed, and the generation falls back to approved, pre-cleared medical narrative templates.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Benchmarks: Reduces commercial hallucination and off-label generation to </w:t>
      </w:r>
      <w:r w:rsidDel="00000000" w:rsidR="00000000" w:rsidRPr="00000000">
        <w:rPr>
          <w:rFonts w:ascii="Google Sans" w:cs="Google Sans" w:eastAsia="Google Sans" w:hAnsi="Google Sans"/>
          <w:color w:val="1f1f1f"/>
        </w:rPr>
        <w:drawing>
          <wp:inline distB="19050" distT="19050" distL="19050" distR="19050">
            <wp:extent cx="511612" cy="236716"/>
            <wp:effectExtent b="0" l="0" r="0" t="0"/>
            <wp:docPr id="66" name="image91.png"/>
            <a:graphic>
              <a:graphicData uri="http://schemas.openxmlformats.org/drawingml/2006/picture">
                <pic:pic>
                  <pic:nvPicPr>
                    <pic:cNvPr id="0" name="image91.png"/>
                    <pic:cNvPicPr preferRelativeResize="0"/>
                  </pic:nvPicPr>
                  <pic:blipFill>
                    <a:blip r:embed="rId85"/>
                    <a:srcRect b="0" l="0" r="0" t="0"/>
                    <a:stretch>
                      <a:fillRect/>
                    </a:stretch>
                  </pic:blipFill>
                  <pic:spPr>
                    <a:xfrm>
                      <a:off x="0" y="0"/>
                      <a:ext cx="511612" cy="236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sustaining answer completeness scores </w:t>
      </w:r>
      <w:r w:rsidDel="00000000" w:rsidR="00000000" w:rsidRPr="00000000">
        <w:rPr>
          <w:rFonts w:ascii="Google Sans" w:cs="Google Sans" w:eastAsia="Google Sans" w:hAnsi="Google Sans"/>
          <w:color w:val="1f1f1f"/>
        </w:rPr>
        <w:drawing>
          <wp:inline distB="19050" distT="19050" distL="19050" distR="19050">
            <wp:extent cx="718542" cy="239514"/>
            <wp:effectExtent b="0" l="0" r="0" t="0"/>
            <wp:docPr id="68" name="image50.png"/>
            <a:graphic>
              <a:graphicData uri="http://schemas.openxmlformats.org/drawingml/2006/picture">
                <pic:pic>
                  <pic:nvPicPr>
                    <pic:cNvPr id="0" name="image50.png"/>
                    <pic:cNvPicPr preferRelativeResize="0"/>
                  </pic:nvPicPr>
                  <pic:blipFill>
                    <a:blip r:embed="rId86"/>
                    <a:srcRect b="0" l="0" r="0" t="0"/>
                    <a:stretch>
                      <a:fillRect/>
                    </a:stretch>
                  </pic:blipFill>
                  <pic:spPr>
                    <a:xfrm>
                      <a:off x="0" y="0"/>
                      <a:ext cx="718542" cy="239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maintaining token generation latency under </w:t>
      </w:r>
      <w:r w:rsidDel="00000000" w:rsidR="00000000" w:rsidRPr="00000000">
        <w:rPr>
          <w:rFonts w:ascii="Google Sans" w:cs="Google Sans" w:eastAsia="Google Sans" w:hAnsi="Google Sans"/>
          <w:color w:val="1f1f1f"/>
        </w:rPr>
        <w:drawing>
          <wp:inline distB="19050" distT="19050" distL="19050" distR="19050">
            <wp:extent cx="436364" cy="237321"/>
            <wp:effectExtent b="0" l="0" r="0" t="0"/>
            <wp:docPr id="69"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436364" cy="237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token.</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Enterprise Copilot &amp; Multi-Agent Orchestration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user interface is driven by an agentic orchestration framework (built on enterprise LangGraph and ReAct architectures) that manages execution across structured data warehouses, knowledge graphs, and compliance boundaries.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workflow coordinates four specialized agents under an automated governance layer. The user query enters the Supervisor Agent, which resolves user intent, evaluates role permissions, and constructs an execution plan. Structured data tasks route to the Structured Analytics Agent for parameterized SQL generation over Snowflake or Databricks Delta Lake. Unstructured clinical inquiries route to the Clinical and Regulatory Agent for graph traversals and MedCPT-indexed package insert searches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Intermediate outputs converge at the Governance and Promotional Compliance Agent, which evaluates FDA promotional rules and fair balance requirements before the Attribution Engine packages the final response with deterministic citation pointers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Reasoning Architecture</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Supervisor Agent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Supervisor Agent coordinates execution across sub-agents. It ingests natural-language queries from any commercial tier, validates the user's role-based access control (RBAC) profile, evaluates the semantic intent, and dynamically routes sub-tasks:</w:t>
      </w:r>
    </w:p>
    <w:p w:rsidR="00000000" w:rsidDel="00000000" w:rsidP="00000000" w:rsidRDefault="00000000" w:rsidRPr="00000000" w14:paraId="0000011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Query Decomposition: A prompt such as "Which dermatologists in the Philadelphia territory have high volumes of uncontrolled psoriasis patients eligible for our IL-23 biologic, and what clinical trial data supports our safety profile over standard of care?" is split into:</w:t>
      </w:r>
    </w:p>
    <w:p w:rsidR="00000000" w:rsidDel="00000000" w:rsidP="00000000" w:rsidRDefault="00000000" w:rsidRPr="00000000" w14:paraId="00000118">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Sub-Task A (Structured Analytics): Identify HCPs in Philadelphia with high volumes of severe psoriasis patients.</w:t>
      </w:r>
    </w:p>
    <w:p w:rsidR="00000000" w:rsidDel="00000000" w:rsidP="00000000" w:rsidRDefault="00000000" w:rsidRPr="00000000" w14:paraId="00000119">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Sub-Task B (Unstructured Clinical/Regulatory): Retrieve comparative safety endpoints from Phase 3 clinical trials and the FDA SPL package insert.</w:t>
      </w:r>
    </w:p>
    <w:p w:rsidR="00000000" w:rsidDel="00000000" w:rsidP="00000000" w:rsidRDefault="00000000" w:rsidRPr="00000000" w14:paraId="0000011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State Graph Orchestration: Maintained via LangGraph state machines, tracking conversation memory, retrieved evidence artifacts, intermediate execution tokens, and deterministic verification receipts.</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Analytics Agent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Structured Analytics Agent translates conversational business requests into parameterized, secure SQL queries targeting the analytical warehouse (Snowflake / Databricks Delta Lake):</w:t>
      </w:r>
    </w:p>
    <w:p w:rsidR="00000000" w:rsidDel="00000000" w:rsidP="00000000" w:rsidRDefault="00000000" w:rsidRPr="00000000" w14:paraId="0000011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Parameterized SQL Synthesis: The agent uses fine-tuned semantic parsing to map terms like "market share," "TRx," and "NBRx" directly to standardized data warehouse views.</w:t>
      </w:r>
    </w:p>
    <w:p w:rsidR="00000000" w:rsidDel="00000000" w:rsidP="00000000" w:rsidRDefault="00000000" w:rsidRPr="00000000" w14:paraId="0000011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Injection Defense and Semantic Sanitization: All dynamically generated SQL queries are checked against strict abstract syntax tree (AST) parsers to prevent SQL injection and unauthorized schema traversal. Arbitrary SELECT * operations are rewritten to explicitly defined columns, and table joins are constrained to approved foreign-key paths.</w:t>
      </w:r>
    </w:p>
    <w:p w:rsidR="00000000" w:rsidDel="00000000" w:rsidP="00000000" w:rsidRDefault="00000000" w:rsidRPr="00000000" w14:paraId="0000011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Execution Safeguards: Queries automatically inject enterprise aggregation guardrails, enforcing minimum cohort sizes (</w:t>
      </w:r>
      <w:r w:rsidDel="00000000" w:rsidR="00000000" w:rsidRPr="00000000">
        <w:rPr>
          <w:rFonts w:ascii="Google Sans" w:cs="Google Sans" w:eastAsia="Google Sans" w:hAnsi="Google Sans"/>
          <w:color w:val="1f1f1f"/>
        </w:rPr>
        <w:drawing>
          <wp:inline distB="19050" distT="19050" distL="19050" distR="19050">
            <wp:extent cx="574953" cy="245313"/>
            <wp:effectExtent b="0" l="0" r="0" t="0"/>
            <wp:docPr id="71"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574953" cy="245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preserve patient de-identification.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Python module demonstrates parameterized Text-to-SQL synthesis with AST sanitization, foreign-key white-listing, and automated parameter injection: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sqlglot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sqlglot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exp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Dict, Any, List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EnterpriseSQLSanitizer: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allowed_tables: List[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allowed_columns: 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List[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self.allowed_tables = </w:t>
      </w:r>
      <w:r w:rsidDel="00000000" w:rsidR="00000000" w:rsidRPr="00000000">
        <w:rPr>
          <w:rFonts w:ascii="Google Sans" w:cs="Google Sans" w:eastAsia="Google Sans" w:hAnsi="Google Sans"/>
          <w:i w:val="0"/>
          <w:iCs w:val="0"/>
          <w:color w:val="ff5a59"/>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(allowed_tables)</w:t>
        <w:br w:type="textWrapping"/>
        <w:t xml:space="preserve">        self.allowed_columns = allowed_columns</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sanitize_and_parameterize</w:t>
      </w:r>
      <w:r w:rsidDel="00000000" w:rsidR="00000000" w:rsidRPr="00000000">
        <w:rPr>
          <w:rFonts w:ascii="Google Sans" w:cs="Google Sans" w:eastAsia="Google Sans" w:hAnsi="Google Sans"/>
          <w:i w:val="0"/>
          <w:iCs w:val="0"/>
          <w:color w:val="ffffff"/>
          <w:sz w:val="20"/>
          <w:szCs w:val="20"/>
          <w:shd w:fill="141414" w:val="clear"/>
          <w:rtl w:val="0"/>
        </w:rPr>
        <w:t xml:space="preserve">(self, raw_sql: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user_territory_id: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str: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Parses raw LLM-generated SQL, validates against data access white-lists,</w:t>
        <w:br w:type="textWrapping"/>
        <w:t xml:space="preserve">        and injects territory-level parameterization and k-anonymity constraints.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parsed = sqlglot.parse_one(raw_sql, read=</w:t>
      </w:r>
      <w:r w:rsidDel="00000000" w:rsidR="00000000" w:rsidRPr="00000000">
        <w:rPr>
          <w:rFonts w:ascii="Google Sans" w:cs="Google Sans" w:eastAsia="Google Sans" w:hAnsi="Google Sans"/>
          <w:i w:val="0"/>
          <w:iCs w:val="0"/>
          <w:color w:val="60d673"/>
          <w:sz w:val="20"/>
          <w:szCs w:val="20"/>
          <w:shd w:fill="141414" w:val="clear"/>
          <w:rtl w:val="0"/>
        </w:rPr>
        <w:t xml:space="preserve">"snowflake"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Enforce Read-Only Access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isinstance</w:t>
      </w:r>
      <w:r w:rsidDel="00000000" w:rsidR="00000000" w:rsidRPr="00000000">
        <w:rPr>
          <w:rFonts w:ascii="Google Sans" w:cs="Google Sans" w:eastAsia="Google Sans" w:hAnsi="Google Sans"/>
          <w:color w:val="1f1f1f"/>
          <w:shd w:fill="141414" w:val="clear"/>
          <w:rtl w:val="0"/>
        </w:rPr>
        <w:t xml:space="preserve">(parsed, exp.Select):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PermissionError(</w:t>
      </w:r>
      <w:r w:rsidDel="00000000" w:rsidR="00000000" w:rsidRPr="00000000">
        <w:rPr>
          <w:rFonts w:ascii="Google Sans" w:cs="Google Sans" w:eastAsia="Google Sans" w:hAnsi="Google Sans"/>
          <w:i w:val="0"/>
          <w:iCs w:val="0"/>
          <w:color w:val="60d673"/>
          <w:sz w:val="20"/>
          <w:szCs w:val="20"/>
          <w:shd w:fill="141414" w:val="clear"/>
          <w:rtl w:val="0"/>
        </w:rPr>
        <w:t xml:space="preserve">"Security Violation: Only SELECT expressions are permitted."</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Validate Tables and Inject Row-Level Security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table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parsed.find_all(exp.Table):</w:t>
        <w:br w:type="textWrapping"/>
        <w:t xml:space="preserve">            table_name = table.name.lower()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table_name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self.allowed_tables: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PermissionError(</w:t>
      </w:r>
      <w:r w:rsidDel="00000000" w:rsidR="00000000" w:rsidRPr="00000000">
        <w:rPr>
          <w:rFonts w:ascii="Google Sans" w:cs="Google Sans" w:eastAsia="Google Sans" w:hAnsi="Google Sans"/>
          <w:i w:val="0"/>
          <w:iCs w:val="0"/>
          <w:color w:val="60d673"/>
          <w:sz w:val="20"/>
          <w:szCs w:val="20"/>
          <w:shd w:fill="141414" w:val="clear"/>
          <w:rtl w:val="0"/>
        </w:rPr>
        <w:t xml:space="preserve">f"Unauthorized Table Access: {table_name}"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Inject Territory Filter into WHERE Clause</w:t>
      </w:r>
      <w:r w:rsidDel="00000000" w:rsidR="00000000" w:rsidRPr="00000000">
        <w:rPr>
          <w:rFonts w:ascii="Google Sans" w:cs="Google Sans" w:eastAsia="Google Sans" w:hAnsi="Google Sans"/>
          <w:color w:val="1f1f1f"/>
          <w:shd w:fill="141414" w:val="clear"/>
          <w:rtl w:val="0"/>
        </w:rPr>
        <w:br w:type="textWrapping"/>
        <w:t xml:space="preserve">        territory_predicate = sqlglot.parse_one(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f"territory_id = '{user_territory_id}'"</w:t>
      </w:r>
      <w:r w:rsidDel="00000000" w:rsidR="00000000" w:rsidRPr="00000000">
        <w:rPr>
          <w:rFonts w:ascii="Google Sans" w:cs="Google Sans" w:eastAsia="Google Sans" w:hAnsi="Google Sans"/>
          <w:color w:val="1f1f1f"/>
          <w:shd w:fill="141414" w:val="clear"/>
          <w:rtl w:val="0"/>
        </w:rPr>
        <w:t xml:space="preserve">, read=</w:t>
      </w:r>
      <w:r w:rsidDel="00000000" w:rsidR="00000000" w:rsidRPr="00000000">
        <w:rPr>
          <w:rFonts w:ascii="Google Sans" w:cs="Google Sans" w:eastAsia="Google Sans" w:hAnsi="Google Sans"/>
          <w:i w:val="0"/>
          <w:iCs w:val="0"/>
          <w:color w:val="60d673"/>
          <w:sz w:val="20"/>
          <w:szCs w:val="20"/>
          <w:shd w:fill="141414" w:val="clear"/>
          <w:rtl w:val="0"/>
        </w:rPr>
        <w:t xml:space="preserve">"snowflake"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parsed.args.get(</w:t>
      </w:r>
      <w:r w:rsidDel="00000000" w:rsidR="00000000" w:rsidRPr="00000000">
        <w:rPr>
          <w:rFonts w:ascii="Google Sans" w:cs="Google Sans" w:eastAsia="Google Sans" w:hAnsi="Google Sans"/>
          <w:i w:val="0"/>
          <w:iCs w:val="0"/>
          <w:color w:val="60d673"/>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w:t>
        <w:br w:type="textWrapping"/>
        <w:t xml:space="preserve">            parsed.args[</w:t>
      </w:r>
      <w:r w:rsidDel="00000000" w:rsidR="00000000" w:rsidRPr="00000000">
        <w:rPr>
          <w:rFonts w:ascii="Google Sans" w:cs="Google Sans" w:eastAsia="Google Sans" w:hAnsi="Google Sans"/>
          <w:i w:val="0"/>
          <w:iCs w:val="0"/>
          <w:color w:val="60d673"/>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].this = exp.And(</w:t>
        <w:br w:type="textWrapping"/>
        <w:t xml:space="preserve">                this=parsed.args[</w:t>
      </w:r>
      <w:r w:rsidDel="00000000" w:rsidR="00000000" w:rsidRPr="00000000">
        <w:rPr>
          <w:rFonts w:ascii="Google Sans" w:cs="Google Sans" w:eastAsia="Google Sans" w:hAnsi="Google Sans"/>
          <w:i w:val="0"/>
          <w:iCs w:val="0"/>
          <w:color w:val="60d673"/>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].this, </w:t>
        <w:br w:type="textWrapping"/>
        <w:t xml:space="preserve">                expression=territory_predicate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parsed.</w:t>
      </w:r>
      <w:r w:rsidDel="00000000" w:rsidR="00000000" w:rsidRPr="00000000">
        <w:rPr>
          <w:rFonts w:ascii="Google Sans" w:cs="Google Sans" w:eastAsia="Google Sans" w:hAnsi="Google Sans"/>
          <w:i w:val="0"/>
          <w:iCs w:val="0"/>
          <w:color w:val="ff5a59"/>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exp.Where(this=territory_predicate))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parsed.sql(dialect=</w:t>
      </w:r>
      <w:r w:rsidDel="00000000" w:rsidR="00000000" w:rsidRPr="00000000">
        <w:rPr>
          <w:rFonts w:ascii="Google Sans" w:cs="Google Sans" w:eastAsia="Google Sans" w:hAnsi="Google Sans"/>
          <w:i w:val="0"/>
          <w:iCs w:val="0"/>
          <w:color w:val="60d673"/>
          <w:sz w:val="20"/>
          <w:szCs w:val="20"/>
          <w:shd w:fill="141414" w:val="clear"/>
          <w:rtl w:val="0"/>
        </w:rPr>
        <w:t xml:space="preserve">"snowflake"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Demonstration of Agentic SQL Generation</w:t>
      </w:r>
      <w:r w:rsidDel="00000000" w:rsidR="00000000" w:rsidRPr="00000000">
        <w:rPr>
          <w:rFonts w:ascii="Google Sans" w:cs="Google Sans" w:eastAsia="Google Sans" w:hAnsi="Google Sans"/>
          <w:color w:val="1f1f1f"/>
          <w:shd w:fill="141414" w:val="clear"/>
          <w:rtl w:val="0"/>
        </w:rPr>
        <w:br w:type="textWrapping"/>
        <w:t xml:space="preserve">raw_generated_query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"SELECT prescriber_npi, COUNT(DISTINCT patient_anon_id) AS patient_count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"FROM fact_prescription_events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"WHERE icd10_primary_diagnosis = 'L40.0'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"GROUP BY prescriber_npi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"HAVING COUNT(DISTINCT patient_anon_id) &gt;= 11"</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t xml:space="preserve">sanitizer = EnterpriseSQLSanitizer(</w:t>
        <w:br w:type="textWrapping"/>
        <w:t xml:space="preserve">    allowed_tables=[</w:t>
      </w:r>
      <w:r w:rsidDel="00000000" w:rsidR="00000000" w:rsidRPr="00000000">
        <w:rPr>
          <w:rFonts w:ascii="Google Sans" w:cs="Google Sans" w:eastAsia="Google Sans" w:hAnsi="Google Sans"/>
          <w:i w:val="0"/>
          <w:iCs w:val="0"/>
          <w:color w:val="60d673"/>
          <w:sz w:val="20"/>
          <w:szCs w:val="20"/>
          <w:shd w:fill="141414" w:val="clear"/>
          <w:rtl w:val="0"/>
        </w:rPr>
        <w:t xml:space="preserve">"fact_prescription_events"</w:t>
      </w:r>
      <w:r w:rsidDel="00000000" w:rsidR="00000000" w:rsidRPr="00000000">
        <w:rPr>
          <w:rFonts w:ascii="Google Sans" w:cs="Google Sans" w:eastAsia="Google Sans" w:hAnsi="Google Sans"/>
          <w:color w:val="1f1f1f"/>
          <w:shd w:fill="141414" w:val="clear"/>
          <w:rtl w:val="0"/>
        </w:rPr>
        <w:t xml:space="preserve">],</w:t>
        <w:br w:type="textWrapping"/>
        <w:t xml:space="preserve">    allowed_columns={</w:t>
      </w:r>
      <w:r w:rsidDel="00000000" w:rsidR="00000000" w:rsidRPr="00000000">
        <w:rPr>
          <w:rFonts w:ascii="Google Sans" w:cs="Google Sans" w:eastAsia="Google Sans" w:hAnsi="Google Sans"/>
          <w:i w:val="0"/>
          <w:iCs w:val="0"/>
          <w:color w:val="60d673"/>
          <w:sz w:val="20"/>
          <w:szCs w:val="20"/>
          <w:shd w:fill="141414" w:val="clear"/>
          <w:rtl w:val="0"/>
        </w:rPr>
        <w:t xml:space="preserve">"fact_prescription_events"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"prescriber_npi"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"patient_anon_id"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"icd10_primary_diagnosis"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"territory_id"</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t xml:space="preserve">secure_query = sanitizer.sanitize_and_parameterize(raw_generated_query, user_territory_id=</w:t>
      </w:r>
      <w:r w:rsidDel="00000000" w:rsidR="00000000" w:rsidRPr="00000000">
        <w:rPr>
          <w:rFonts w:ascii="Google Sans" w:cs="Google Sans" w:eastAsia="Google Sans" w:hAnsi="Google Sans"/>
          <w:i w:val="0"/>
          <w:iCs w:val="0"/>
          <w:color w:val="60d673"/>
          <w:sz w:val="20"/>
          <w:szCs w:val="20"/>
          <w:shd w:fill="141414" w:val="clear"/>
          <w:rtl w:val="0"/>
        </w:rPr>
        <w:t xml:space="preserve">"US-PA-PHILLY-01"</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Unstructured Regulatory &amp; Medical Agent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agent executes multi-hop traversals over the Neo4j Knowledge Graph and conducts hybrid vector retrieval over the MedCPT-indexed clinical repository:</w:t>
      </w:r>
    </w:p>
    <w:p w:rsidR="00000000" w:rsidDel="00000000" w:rsidP="00000000" w:rsidRDefault="00000000" w:rsidRPr="00000000" w14:paraId="0000012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Multi-Hop Reasoning: Identifies indirect relationships, such as identifying clinical trials evaluating target active ingredients against competitor formulations, and extracting primary endpoint differences.</w:t>
      </w:r>
    </w:p>
    <w:p w:rsidR="00000000" w:rsidDel="00000000" w:rsidP="00000000" w:rsidRDefault="00000000" w:rsidRPr="00000000" w14:paraId="0000012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Label Section Isolation: Restricts information extraction to specific sections of the FDA Structured Product Labeling (SPL) XML, such as Section 1 (</w:t>
      </w:r>
      <w:r w:rsidDel="00000000" w:rsidR="00000000" w:rsidRPr="00000000">
        <w:rPr>
          <w:rFonts w:ascii="Google Sans" w:cs="Google Sans" w:eastAsia="Google Sans" w:hAnsi="Google Sans"/>
          <w:i w:val="1"/>
          <w:iCs w:val="1"/>
          <w:color w:val="1f1f1f"/>
          <w:rtl w:val="0"/>
        </w:rPr>
        <w:t xml:space="preserve">Indications and Usage</w:t>
      </w:r>
      <w:r w:rsidDel="00000000" w:rsidR="00000000" w:rsidRPr="00000000">
        <w:rPr>
          <w:rFonts w:ascii="Google Sans" w:cs="Google Sans" w:eastAsia="Google Sans" w:hAnsi="Google Sans"/>
          <w:color w:val="1f1f1f"/>
          <w:rtl w:val="0"/>
        </w:rPr>
        <w:t xml:space="preserve">), Section 4 (</w:t>
      </w:r>
      <w:r w:rsidDel="00000000" w:rsidR="00000000" w:rsidRPr="00000000">
        <w:rPr>
          <w:rFonts w:ascii="Google Sans" w:cs="Google Sans" w:eastAsia="Google Sans" w:hAnsi="Google Sans"/>
          <w:i w:val="1"/>
          <w:iCs w:val="1"/>
          <w:color w:val="1f1f1f"/>
          <w:rtl w:val="0"/>
        </w:rPr>
        <w:t xml:space="preserve">Contraindications</w:t>
      </w:r>
      <w:r w:rsidDel="00000000" w:rsidR="00000000" w:rsidRPr="00000000">
        <w:rPr>
          <w:rFonts w:ascii="Google Sans" w:cs="Google Sans" w:eastAsia="Google Sans" w:hAnsi="Google Sans"/>
          <w:color w:val="1f1f1f"/>
          <w:rtl w:val="0"/>
        </w:rPr>
        <w:t xml:space="preserve">), Section 5 (</w:t>
      </w:r>
      <w:r w:rsidDel="00000000" w:rsidR="00000000" w:rsidRPr="00000000">
        <w:rPr>
          <w:rFonts w:ascii="Google Sans" w:cs="Google Sans" w:eastAsia="Google Sans" w:hAnsi="Google Sans"/>
          <w:i w:val="1"/>
          <w:iCs w:val="1"/>
          <w:color w:val="1f1f1f"/>
          <w:rtl w:val="0"/>
        </w:rPr>
        <w:t xml:space="preserve">Warnings and Precautions</w:t>
      </w:r>
      <w:r w:rsidDel="00000000" w:rsidR="00000000" w:rsidRPr="00000000">
        <w:rPr>
          <w:rFonts w:ascii="Google Sans" w:cs="Google Sans" w:eastAsia="Google Sans" w:hAnsi="Google Sans"/>
          <w:color w:val="1f1f1f"/>
          <w:rtl w:val="0"/>
        </w:rPr>
        <w:t xml:space="preserve">), and Section 14 (</w:t>
      </w:r>
      <w:r w:rsidDel="00000000" w:rsidR="00000000" w:rsidRPr="00000000">
        <w:rPr>
          <w:rFonts w:ascii="Google Sans" w:cs="Google Sans" w:eastAsia="Google Sans" w:hAnsi="Google Sans"/>
          <w:i w:val="1"/>
          <w:iCs w:val="1"/>
          <w:color w:val="1f1f1f"/>
          <w:rtl w:val="0"/>
        </w:rPr>
        <w:t xml:space="preserve">Clinical Studies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Direct Evidence Scraping: Extracts exact statistical endpoints (hazard ratios, confidence intervals,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53" name="image37.png"/>
            <a:graphic>
              <a:graphicData uri="http://schemas.openxmlformats.org/drawingml/2006/picture">
                <pic:pic>
                  <pic:nvPicPr>
                    <pic:cNvPr id="0" name="image37.png"/>
                    <pic:cNvPicPr preferRelativeResize="0"/>
                  </pic:nvPicPr>
                  <pic:blipFill>
                    <a:blip r:embed="rId8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directly from clinical trial results tables, preventing hallucination of quantitative findings.</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&amp; Promotional Compliance Agent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Governance Agent functions as an autonomous, real-time regulatory firewall:</w:t>
      </w:r>
    </w:p>
    <w:p w:rsidR="00000000" w:rsidDel="00000000" w:rsidP="00000000" w:rsidRDefault="00000000" w:rsidRPr="00000000" w14:paraId="0000012D">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FDA OPDP Boundary Enforcement: Screens generated narratives against promotional guardrails. Any attempt to introduce off-label therapeutic claims, unapproved patient populations, or unauthorized comparative superiority claims triggers an immediate generation halt.</w:t>
      </w:r>
    </w:p>
    <w:p w:rsidR="00000000" w:rsidDel="00000000" w:rsidP="00000000" w:rsidRDefault="00000000" w:rsidRPr="00000000" w14:paraId="0000012E">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Fair Balance Enforcement: Evaluates whether an efficacy statement is accompanied by appropriate safety and risk disclosures of comparable prominence.</w:t>
      </w:r>
    </w:p>
    <w:p w:rsidR="00000000" w:rsidDel="00000000" w:rsidP="00000000" w:rsidRDefault="00000000" w:rsidRPr="00000000" w14:paraId="0000012F">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Commercial vs. Medical Affairs Firewall: Determines whether an inquiry represents standard commercial detailing or an unsolicited request for off-label information. Unsolicited requests are routed away from the commercial interface directly to Medical Science Liaisons (MSLs) via secure Medical Information Request (MIR) workflows.</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Provenance-Preserving Citation Engine &amp; Quantified Truthfulness Framework</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maintains deterministic attribution for all generated intelligence. Every metric, clinical rate, or regulatory assertion is mapped to an inspectable provenance metadata object that links the claim to an exact data source: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"entity_type"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"ClinicalTrialResult"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"trial_id"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"NCT03732820"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"document_source"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"FDA_SPL_Section_14_ClinicalStudies"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"spl_set_id"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"b18274a1-094e-4f28-b80c-e2f75a643801"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"table_id"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"Table_3"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"row_coordinate"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"column_coordinate"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"asserted_claim"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"Drug X achieved 82% PASI-90 response at Week 16 vs 60% for active comparator"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"confidence_p_value"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0.001</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Quantified Truthfulness Framework</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measurable accuracy guarantees, every generative output is evaluated across three core RAGAS / TruLens metrics prior to display:</w:t>
      </w:r>
    </w:p>
    <w:p w:rsidR="00000000" w:rsidDel="00000000" w:rsidP="00000000" w:rsidRDefault="00000000" w:rsidRPr="00000000" w14:paraId="0000013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Faithfulness Score (</w:t>
      </w:r>
      <w:r w:rsidDel="00000000" w:rsidR="00000000" w:rsidRPr="00000000">
        <w:rPr>
          <w:rFonts w:ascii="Google Sans" w:cs="Google Sans" w:eastAsia="Google Sans" w:hAnsi="Google Sans"/>
          <w:color w:val="1f1f1f"/>
        </w:rPr>
        <w:drawing>
          <wp:inline distB="19050" distT="19050" distL="19050" distR="19050">
            <wp:extent cx="408146" cy="246428"/>
            <wp:effectExtent b="0" l="0" r="0" t="0"/>
            <wp:docPr id="55"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408146" cy="246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Quantifies whether all asserted claims in the answer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56" name="image35.png"/>
            <a:graphic>
              <a:graphicData uri="http://schemas.openxmlformats.org/drawingml/2006/picture">
                <pic:pic>
                  <pic:nvPicPr>
                    <pic:cNvPr id="0" name="image35.png"/>
                    <pic:cNvPicPr preferRelativeResize="0"/>
                  </pic:nvPicPr>
                  <pic:blipFill>
                    <a:blip r:embed="rId90"/>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directly inferred from the retrieved context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58" name="image59.png"/>
            <a:graphic>
              <a:graphicData uri="http://schemas.openxmlformats.org/drawingml/2006/picture">
                <pic:pic>
                  <pic:nvPicPr>
                    <pic:cNvPr id="0" name="image59.png"/>
                    <pic:cNvPicPr preferRelativeResize="0"/>
                  </pic:nvPicPr>
                  <pic:blipFill>
                    <a:blip r:embed="rId91"/>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631518" cy="245111"/>
            <wp:effectExtent b="0" l="0" r="0" t="0"/>
            <wp:docPr id="109" name="image78.png"/>
            <a:graphic>
              <a:graphicData uri="http://schemas.openxmlformats.org/drawingml/2006/picture">
                <pic:pic>
                  <pic:nvPicPr>
                    <pic:cNvPr id="0" name="image78.png"/>
                    <pic:cNvPicPr preferRelativeResize="0"/>
                  </pic:nvPicPr>
                  <pic:blipFill>
                    <a:blip r:embed="rId92"/>
                    <a:srcRect b="0" l="0" r="0" t="0"/>
                    <a:stretch>
                      <a:fillRect/>
                    </a:stretch>
                  </pic:blipFill>
                  <pic:spPr>
                    <a:xfrm>
                      <a:off x="0" y="0"/>
                      <a:ext cx="1631518" cy="2451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atomic claims extracted from the answer: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76127"/>
            <wp:effectExtent b="0" l="0" r="0" t="0"/>
            <wp:docPr id="111" name="image76.png"/>
            <a:graphic>
              <a:graphicData uri="http://schemas.openxmlformats.org/drawingml/2006/picture">
                <pic:pic>
                  <pic:nvPicPr>
                    <pic:cNvPr id="0" name="image76.png"/>
                    <pic:cNvPicPr preferRelativeResize="0"/>
                  </pic:nvPicPr>
                  <pic:blipFill>
                    <a:blip r:embed="rId93"/>
                    <a:srcRect b="0" l="0" r="0" t="0"/>
                    <a:stretch>
                      <a:fillRect/>
                    </a:stretch>
                  </pic:blipFill>
                  <pic:spPr>
                    <a:xfrm>
                      <a:off x="0" y="0"/>
                      <a:ext cx="5905500" cy="8761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574834" cy="245262"/>
            <wp:effectExtent b="0" l="0" r="0" t="0"/>
            <wp:docPr id="113" name="image79.png"/>
            <a:graphic>
              <a:graphicData uri="http://schemas.openxmlformats.org/drawingml/2006/picture">
                <pic:pic>
                  <pic:nvPicPr>
                    <pic:cNvPr id="0" name="image79.png"/>
                    <pic:cNvPicPr preferRelativeResize="0"/>
                  </pic:nvPicPr>
                  <pic:blipFill>
                    <a:blip r:embed="rId94"/>
                    <a:srcRect b="0" l="0" r="0" t="0"/>
                    <a:stretch>
                      <a:fillRect/>
                    </a:stretch>
                  </pic:blipFill>
                  <pic:spPr>
                    <a:xfrm>
                      <a:off x="0" y="0"/>
                      <a:ext cx="574834" cy="245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that context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115" name="image59.png"/>
            <a:graphic>
              <a:graphicData uri="http://schemas.openxmlformats.org/drawingml/2006/picture">
                <pic:pic>
                  <pic:nvPicPr>
                    <pic:cNvPr id="0" name="image59.png"/>
                    <pic:cNvPicPr preferRelativeResize="0"/>
                  </pic:nvPicPr>
                  <pic:blipFill>
                    <a:blip r:embed="rId91"/>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logically entails claim </w:t>
      </w:r>
      <w:r w:rsidDel="00000000" w:rsidR="00000000" w:rsidRPr="00000000">
        <w:rPr>
          <w:rFonts w:ascii="Google Sans" w:cs="Google Sans" w:eastAsia="Google Sans" w:hAnsi="Google Sans"/>
          <w:color w:val="1f1f1f"/>
        </w:rPr>
        <w:drawing>
          <wp:inline distB="19050" distT="19050" distL="19050" distR="19050">
            <wp:extent cx="142042" cy="252518"/>
            <wp:effectExtent b="0" l="0" r="0" t="0"/>
            <wp:docPr id="116" name="image115.png"/>
            <a:graphic>
              <a:graphicData uri="http://schemas.openxmlformats.org/drawingml/2006/picture">
                <pic:pic>
                  <pic:nvPicPr>
                    <pic:cNvPr id="0" name="image115.png"/>
                    <pic:cNvPicPr preferRelativeResize="0"/>
                  </pic:nvPicPr>
                  <pic:blipFill>
                    <a:blip r:embed="rId95"/>
                    <a:srcRect b="0" l="0" r="0" t="0"/>
                    <a:stretch>
                      <a:fillRect/>
                    </a:stretch>
                  </pic:blipFill>
                  <pic:spPr>
                    <a:xfrm>
                      <a:off x="0" y="0"/>
                      <a:ext cx="142042" cy="252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platform requires </w:t>
      </w:r>
      <w:r w:rsidDel="00000000" w:rsidR="00000000" w:rsidRPr="00000000">
        <w:rPr>
          <w:rFonts w:ascii="Google Sans" w:cs="Google Sans" w:eastAsia="Google Sans" w:hAnsi="Google Sans"/>
          <w:color w:val="1f1f1f"/>
        </w:rPr>
        <w:drawing>
          <wp:inline distB="19050" distT="19050" distL="19050" distR="19050">
            <wp:extent cx="1017870" cy="244901"/>
            <wp:effectExtent b="0" l="0" r="0" t="0"/>
            <wp:docPr id="117" name="image81.png"/>
            <a:graphic>
              <a:graphicData uri="http://schemas.openxmlformats.org/drawingml/2006/picture">
                <pic:pic>
                  <pic:nvPicPr>
                    <pic:cNvPr id="0" name="image81.png"/>
                    <pic:cNvPicPr preferRelativeResize="0"/>
                  </pic:nvPicPr>
                  <pic:blipFill>
                    <a:blip r:embed="rId96"/>
                    <a:srcRect b="0" l="0" r="0" t="0"/>
                    <a:stretch>
                      <a:fillRect/>
                    </a:stretch>
                  </pic:blipFill>
                  <pic:spPr>
                    <a:xfrm>
                      <a:off x="0" y="0"/>
                      <a:ext cx="1017870" cy="2449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commercial outputs.</w:t>
      </w:r>
    </w:p>
    <w:p w:rsidR="00000000" w:rsidDel="00000000" w:rsidP="00000000" w:rsidRDefault="00000000" w:rsidRPr="00000000" w14:paraId="0000013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Answer Relevance Score (</w:t>
      </w:r>
      <w:r w:rsidDel="00000000" w:rsidR="00000000" w:rsidRPr="00000000">
        <w:rPr>
          <w:rFonts w:ascii="Google Sans" w:cs="Google Sans" w:eastAsia="Google Sans" w:hAnsi="Google Sans"/>
          <w:color w:val="1f1f1f"/>
        </w:rPr>
        <w:drawing>
          <wp:inline distB="19050" distT="19050" distL="19050" distR="19050">
            <wp:extent cx="282654" cy="244458"/>
            <wp:effectExtent b="0" l="0" r="0" t="0"/>
            <wp:docPr id="127" name="image86.png"/>
            <a:graphic>
              <a:graphicData uri="http://schemas.openxmlformats.org/drawingml/2006/picture">
                <pic:pic>
                  <pic:nvPicPr>
                    <pic:cNvPr id="0" name="image86.png"/>
                    <pic:cNvPicPr preferRelativeResize="0"/>
                  </pic:nvPicPr>
                  <pic:blipFill>
                    <a:blip r:embed="rId97"/>
                    <a:srcRect b="0" l="0" r="0" t="0"/>
                    <a:stretch>
                      <a:fillRect/>
                    </a:stretch>
                  </pic:blipFill>
                  <pic:spPr>
                    <a:xfrm>
                      <a:off x="0" y="0"/>
                      <a:ext cx="282654" cy="24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how well the response directly addresses the original query </w:t>
      </w:r>
      <w:r w:rsidDel="00000000" w:rsidR="00000000" w:rsidRPr="00000000">
        <w:rPr>
          <w:rFonts w:ascii="Google Sans" w:cs="Google Sans" w:eastAsia="Google Sans" w:hAnsi="Google Sans"/>
          <w:color w:val="1f1f1f"/>
        </w:rPr>
        <w:drawing>
          <wp:inline distB="19050" distT="19050" distL="19050" distR="19050">
            <wp:extent cx="155019" cy="248031"/>
            <wp:effectExtent b="0" l="0" r="0" t="0"/>
            <wp:docPr id="126" name="image103.png"/>
            <a:graphic>
              <a:graphicData uri="http://schemas.openxmlformats.org/drawingml/2006/picture">
                <pic:pic>
                  <pic:nvPicPr>
                    <pic:cNvPr id="0" name="image103.png"/>
                    <pic:cNvPicPr preferRelativeResize="0"/>
                  </pic:nvPicPr>
                  <pic:blipFill>
                    <a:blip r:embed="rId98"/>
                    <a:srcRect b="0" l="0" r="0" t="0"/>
                    <a:stretch>
                      <a:fillRect/>
                    </a:stretch>
                  </pic:blipFill>
                  <pic:spPr>
                    <a:xfrm>
                      <a:off x="0" y="0"/>
                      <a:ext cx="155019" cy="248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an embedding model </w:t>
      </w:r>
      <w:r w:rsidDel="00000000" w:rsidR="00000000" w:rsidRPr="00000000">
        <w:rPr>
          <w:rFonts w:ascii="Google Sans" w:cs="Google Sans" w:eastAsia="Google Sans" w:hAnsi="Google Sans"/>
          <w:color w:val="1f1f1f"/>
        </w:rPr>
        <w:drawing>
          <wp:inline distB="19050" distT="19050" distL="19050" distR="19050">
            <wp:extent cx="155853" cy="249364"/>
            <wp:effectExtent b="0" l="0" r="0" t="0"/>
            <wp:docPr id="129" name="image88.png"/>
            <a:graphic>
              <a:graphicData uri="http://schemas.openxmlformats.org/drawingml/2006/picture">
                <pic:pic>
                  <pic:nvPicPr>
                    <pic:cNvPr id="0" name="image88.png"/>
                    <pic:cNvPicPr preferRelativeResize="0"/>
                  </pic:nvPicPr>
                  <pic:blipFill>
                    <a:blip r:embed="rId99"/>
                    <a:srcRect b="0" l="0" r="0" t="0"/>
                    <a:stretch>
                      <a:fillRect/>
                    </a:stretch>
                  </pic:blipFill>
                  <pic:spPr>
                    <a:xfrm>
                      <a:off x="0" y="0"/>
                      <a:ext cx="155853" cy="249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generator synthesizes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28" name="image87.png"/>
            <a:graphic>
              <a:graphicData uri="http://schemas.openxmlformats.org/drawingml/2006/picture">
                <pic:pic>
                  <pic:nvPicPr>
                    <pic:cNvPr id="0" name="image87.png"/>
                    <pic:cNvPicPr preferRelativeResize="0"/>
                  </pic:nvPicPr>
                  <pic:blipFill>
                    <a:blip r:embed="rId100"/>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potential questions </w:t>
      </w:r>
      <w:r w:rsidDel="00000000" w:rsidR="00000000" w:rsidRPr="00000000">
        <w:rPr>
          <w:rFonts w:ascii="Google Sans" w:cs="Google Sans" w:eastAsia="Google Sans" w:hAnsi="Google Sans"/>
          <w:color w:val="1f1f1f"/>
        </w:rPr>
        <w:drawing>
          <wp:inline distB="19050" distT="19050" distL="19050" distR="19050">
            <wp:extent cx="1043340" cy="243700"/>
            <wp:effectExtent b="0" l="0" r="0" t="0"/>
            <wp:docPr id="123" name="image105.png"/>
            <a:graphic>
              <a:graphicData uri="http://schemas.openxmlformats.org/drawingml/2006/picture">
                <pic:pic>
                  <pic:nvPicPr>
                    <pic:cNvPr id="0" name="image105.png"/>
                    <pic:cNvPicPr preferRelativeResize="0"/>
                  </pic:nvPicPr>
                  <pic:blipFill>
                    <a:blip r:embed="rId101"/>
                    <a:srcRect b="0" l="0" r="0" t="0"/>
                    <a:stretch>
                      <a:fillRect/>
                    </a:stretch>
                  </pic:blipFill>
                  <pic:spPr>
                    <a:xfrm>
                      <a:off x="0" y="0"/>
                      <a:ext cx="1043340" cy="24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the answer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122" name="image35.png"/>
            <a:graphic>
              <a:graphicData uri="http://schemas.openxmlformats.org/drawingml/2006/picture">
                <pic:pic>
                  <pic:nvPicPr>
                    <pic:cNvPr id="0" name="image35.png"/>
                    <pic:cNvPicPr preferRelativeResize="0"/>
                  </pic:nvPicPr>
                  <pic:blipFill>
                    <a:blip r:embed="rId90"/>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computing cosine similarity against the original query: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1050015"/>
            <wp:effectExtent b="0" l="0" r="0" t="0"/>
            <wp:docPr id="125" name="image90.png"/>
            <a:graphic>
              <a:graphicData uri="http://schemas.openxmlformats.org/drawingml/2006/picture">
                <pic:pic>
                  <pic:nvPicPr>
                    <pic:cNvPr id="0" name="image90.png"/>
                    <pic:cNvPicPr preferRelativeResize="0"/>
                  </pic:nvPicPr>
                  <pic:blipFill>
                    <a:blip r:embed="rId102"/>
                    <a:srcRect b="0" l="0" r="0" t="0"/>
                    <a:stretch>
                      <a:fillRect/>
                    </a:stretch>
                  </pic:blipFill>
                  <pic:spPr>
                    <a:xfrm>
                      <a:off x="0" y="0"/>
                      <a:ext cx="5905500" cy="105001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Context Recall Score (</w:t>
      </w:r>
      <w:r w:rsidDel="00000000" w:rsidR="00000000" w:rsidRPr="00000000">
        <w:rPr>
          <w:rFonts w:ascii="Google Sans" w:cs="Google Sans" w:eastAsia="Google Sans" w:hAnsi="Google Sans"/>
          <w:color w:val="1f1f1f"/>
        </w:rPr>
        <w:drawing>
          <wp:inline distB="19050" distT="19050" distL="19050" distR="19050">
            <wp:extent cx="450175" cy="248373"/>
            <wp:effectExtent b="0" l="0" r="0" t="0"/>
            <wp:docPr id="124" name="image84.png"/>
            <a:graphic>
              <a:graphicData uri="http://schemas.openxmlformats.org/drawingml/2006/picture">
                <pic:pic>
                  <pic:nvPicPr>
                    <pic:cNvPr id="0" name="image84.png"/>
                    <pic:cNvPicPr preferRelativeResize="0"/>
                  </pic:nvPicPr>
                  <pic:blipFill>
                    <a:blip r:embed="rId103"/>
                    <a:srcRect b="0" l="0" r="0" t="0"/>
                    <a:stretch>
                      <a:fillRect/>
                    </a:stretch>
                  </pic:blipFill>
                  <pic:spPr>
                    <a:xfrm>
                      <a:off x="0" y="0"/>
                      <a:ext cx="450175" cy="248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Quantifies whether the retrieved context contains all necessary information from the reference truth </w:t>
      </w:r>
      <w:r w:rsidDel="00000000" w:rsidR="00000000" w:rsidRPr="00000000">
        <w:rPr>
          <w:rFonts w:ascii="Google Sans" w:cs="Google Sans" w:eastAsia="Google Sans" w:hAnsi="Google Sans"/>
          <w:color w:val="1f1f1f"/>
        </w:rPr>
        <w:drawing>
          <wp:inline distB="19050" distT="19050" distL="19050" distR="19050">
            <wp:extent cx="150138" cy="240220"/>
            <wp:effectExtent b="0" l="0" r="0" t="0"/>
            <wp:docPr id="121" name="image80.png"/>
            <a:graphic>
              <a:graphicData uri="http://schemas.openxmlformats.org/drawingml/2006/picture">
                <pic:pic>
                  <pic:nvPicPr>
                    <pic:cNvPr id="0" name="image80.png"/>
                    <pic:cNvPicPr preferRelativeResize="0"/>
                  </pic:nvPicPr>
                  <pic:blipFill>
                    <a:blip r:embed="rId104"/>
                    <a:srcRect b="0" l="0" r="0" t="0"/>
                    <a:stretch>
                      <a:fillRect/>
                    </a:stretch>
                  </pic:blipFill>
                  <pic:spPr>
                    <a:xfrm>
                      <a:off x="0" y="0"/>
                      <a:ext cx="150138" cy="24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76127"/>
            <wp:effectExtent b="0" l="0" r="0" t="0"/>
            <wp:docPr id="120" name="image102.png"/>
            <a:graphic>
              <a:graphicData uri="http://schemas.openxmlformats.org/drawingml/2006/picture">
                <pic:pic>
                  <pic:nvPicPr>
                    <pic:cNvPr id="0" name="image102.png"/>
                    <pic:cNvPicPr preferRelativeResize="0"/>
                  </pic:nvPicPr>
                  <pic:blipFill>
                    <a:blip r:embed="rId105"/>
                    <a:srcRect b="0" l="0" r="0" t="0"/>
                    <a:stretch>
                      <a:fillRect/>
                    </a:stretch>
                  </pic:blipFill>
                  <pic:spPr>
                    <a:xfrm>
                      <a:off x="0" y="0"/>
                      <a:ext cx="5905500" cy="87612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profile of each sub-agent is detailed in the table below, summarizing processing engines, input modalities, outputs, service-level latency targets, and enforcement gates.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 Sub-System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Execution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Context Modality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Artifact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Governing Latency SLA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Enforced Validation Gate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Supervisor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Fine-Tuned LLaMA-3 70B (Permissive weights)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conversational query, user RBAC role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Sub-agent routing graph, decomposed task DAG.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1283" cy="236905"/>
                  <wp:effectExtent b="0" l="0" r="0" t="0"/>
                  <wp:docPr id="103" name="image71.png"/>
                  <a:graphic>
                    <a:graphicData uri="http://schemas.openxmlformats.org/drawingml/2006/picture">
                      <pic:pic>
                        <pic:nvPicPr>
                          <pic:cNvPr id="0" name="image71.png"/>
                          <pic:cNvPicPr preferRelativeResize="0"/>
                        </pic:nvPicPr>
                        <pic:blipFill>
                          <a:blip r:embed="rId106"/>
                          <a:srcRect b="0" l="0" r="0" t="0"/>
                          <a:stretch>
                            <a:fillRect/>
                          </a:stretch>
                        </pic:blipFill>
                        <pic:spPr>
                          <a:xfrm>
                            <a:off x="0" y="0"/>
                            <a:ext cx="741283" cy="23690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RBAC authentication, intent boundary check.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Structured Analytics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 Sanitized Text-to-SQL Parser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schema definitions, temporal filters, territory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Validated Snowflake / Delta Lake SQL statement.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1283" cy="236905"/>
                  <wp:effectExtent b="0" l="0" r="0" t="0"/>
                  <wp:docPr id="100" name="image70.png"/>
                  <a:graphic>
                    <a:graphicData uri="http://schemas.openxmlformats.org/drawingml/2006/picture">
                      <pic:pic>
                        <pic:nvPicPr>
                          <pic:cNvPr id="0" name="image70.png"/>
                          <pic:cNvPicPr preferRelativeResize="0"/>
                        </pic:nvPicPr>
                        <pic:blipFill>
                          <a:blip r:embed="rId107"/>
                          <a:srcRect b="0" l="0" r="0" t="0"/>
                          <a:stretch>
                            <a:fillRect/>
                          </a:stretch>
                        </pic:blipFill>
                        <pic:spPr>
                          <a:xfrm>
                            <a:off x="0" y="0"/>
                            <a:ext cx="741283" cy="23690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 AST parser, </w:t>
            </w:r>
            <w:r w:rsidDel="00000000" w:rsidR="00000000" w:rsidRPr="00000000">
              <w:rPr>
                <w:rFonts w:ascii="Google Sans" w:cs="Google Sans" w:eastAsia="Google Sans" w:hAnsi="Google Sans"/>
                <w:color w:val="1f1f1f"/>
              </w:rPr>
              <w:drawing>
                <wp:inline distB="19050" distT="19050" distL="19050" distR="19050">
                  <wp:extent cx="565547" cy="247911"/>
                  <wp:effectExtent b="0" l="0" r="0" t="0"/>
                  <wp:docPr id="99" name="image40.png"/>
                  <a:graphic>
                    <a:graphicData uri="http://schemas.openxmlformats.org/drawingml/2006/picture">
                      <pic:pic>
                        <pic:nvPicPr>
                          <pic:cNvPr id="0" name="image40.png"/>
                          <pic:cNvPicPr preferRelativeResize="0"/>
                        </pic:nvPicPr>
                        <pic:blipFill>
                          <a:blip r:embed="rId108"/>
                          <a:srcRect b="0" l="0" r="0" t="0"/>
                          <a:stretch>
                            <a:fillRect/>
                          </a:stretch>
                        </pic:blipFill>
                        <pic:spPr>
                          <a:xfrm>
                            <a:off x="0" y="0"/>
                            <a:ext cx="565547" cy="247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cell suppression.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Clinical / Regulatory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MedCPT Dense Retriever + BM25 Lexical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FDA SPL XML nodes, clinical trial study tables.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Relevant context chunks with persistent UUIDs.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1283" cy="236905"/>
                  <wp:effectExtent b="0" l="0" r="0" t="0"/>
                  <wp:docPr id="102" name="image72.png"/>
                  <a:graphic>
                    <a:graphicData uri="http://schemas.openxmlformats.org/drawingml/2006/picture">
                      <pic:pic>
                        <pic:nvPicPr>
                          <pic:cNvPr id="0" name="image72.png"/>
                          <pic:cNvPicPr preferRelativeResize="0"/>
                        </pic:nvPicPr>
                        <pic:blipFill>
                          <a:blip r:embed="rId109"/>
                          <a:srcRect b="0" l="0" r="0" t="0"/>
                          <a:stretch>
                            <a:fillRect/>
                          </a:stretch>
                        </pic:blipFill>
                        <pic:spPr>
                          <a:xfrm>
                            <a:off x="0" y="0"/>
                            <a:ext cx="741283" cy="23690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Reciprocal Rank Fusion, similarity threshold </w:t>
            </w:r>
            <w:r w:rsidDel="00000000" w:rsidR="00000000" w:rsidRPr="00000000">
              <w:rPr>
                <w:rFonts w:ascii="Google Sans" w:cs="Google Sans" w:eastAsia="Google Sans" w:hAnsi="Google Sans"/>
                <w:color w:val="1f1f1f"/>
              </w:rPr>
              <w:drawing>
                <wp:inline distB="19050" distT="19050" distL="19050" distR="19050">
                  <wp:extent cx="555307" cy="239091"/>
                  <wp:effectExtent b="0" l="0" r="0" t="0"/>
                  <wp:docPr id="101" name="image85.png"/>
                  <a:graphic>
                    <a:graphicData uri="http://schemas.openxmlformats.org/drawingml/2006/picture">
                      <pic:pic>
                        <pic:nvPicPr>
                          <pic:cNvPr id="0" name="image85.png"/>
                          <pic:cNvPicPr preferRelativeResize="0"/>
                        </pic:nvPicPr>
                        <pic:blipFill>
                          <a:blip r:embed="rId110"/>
                          <a:srcRect b="0" l="0" r="0" t="0"/>
                          <a:stretch>
                            <a:fillRect/>
                          </a:stretch>
                        </pic:blipFill>
                        <pic:spPr>
                          <a:xfrm>
                            <a:off x="0" y="0"/>
                            <a:ext cx="555307" cy="239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Promotional Compliance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Token-Level Evaluator + RoBERTa Classifier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Generated narrative draft, retrieved regulatory bounds.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Approval token or suppression intercept.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43295" cy="234613"/>
                  <wp:effectExtent b="0" l="0" r="0" t="0"/>
                  <wp:docPr id="96" name="image77.png"/>
                  <a:graphic>
                    <a:graphicData uri="http://schemas.openxmlformats.org/drawingml/2006/picture">
                      <pic:pic>
                        <pic:nvPicPr>
                          <pic:cNvPr id="0" name="image77.png"/>
                          <pic:cNvPicPr preferRelativeResize="0"/>
                        </pic:nvPicPr>
                        <pic:blipFill>
                          <a:blip r:embed="rId111"/>
                          <a:srcRect b="0" l="0" r="0" t="0"/>
                          <a:stretch>
                            <a:fillRect/>
                          </a:stretch>
                        </pic:blipFill>
                        <pic:spPr>
                          <a:xfrm>
                            <a:off x="0" y="0"/>
                            <a:ext cx="643295" cy="234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Zero-tolerance OPDP off-label scan, Fair Balance.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Pointer Mapping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Retrieved document metadata, generated token spans.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Inline inspectable provenance annotations.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43295" cy="234613"/>
                  <wp:effectExtent b="0" l="0" r="0" t="0"/>
                  <wp:docPr id="95" name="image68.png"/>
                  <a:graphic>
                    <a:graphicData uri="http://schemas.openxmlformats.org/drawingml/2006/picture">
                      <pic:pic>
                        <pic:nvPicPr>
                          <pic:cNvPr id="0" name="image68.png"/>
                          <pic:cNvPicPr preferRelativeResize="0"/>
                        </pic:nvPicPr>
                        <pic:blipFill>
                          <a:blip r:embed="rId112"/>
                          <a:srcRect b="0" l="0" r="0" t="0"/>
                          <a:stretch>
                            <a:fillRect/>
                          </a:stretch>
                        </pic:blipFill>
                        <pic:spPr>
                          <a:xfrm>
                            <a:off x="0" y="0"/>
                            <a:ext cx="643295" cy="234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character-span and table-cell validation.</w:t>
            </w:r>
          </w:p>
        </w:tc>
      </w:tr>
    </w:tbl>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Compliance, Data Privacy &amp; Regulatory Boundaries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Privacy, Warehousing &amp; De-Identification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commercial analytics across patient-level records requires strict technical and procedural adherence to healthcare privacy mandates.</w:t>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HIPAA Privacy Rule Alignment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implements dual alignment with the Health Insurance Portability and Accountability Act (HIPAA) Privacy Rule (45 CFR § 164.514):</w:t>
      </w:r>
    </w:p>
    <w:p w:rsidR="00000000" w:rsidDel="00000000" w:rsidP="00000000" w:rsidRDefault="00000000" w:rsidRPr="00000000" w14:paraId="0000016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Safe Harbor Method (§ 164.514(b)): Direct identifiers—including patient names, geographic subdivisions smaller than a state (with exceptions for the first three digits of a ZIP code matching population thresholds </w:t>
      </w:r>
      <w:r w:rsidDel="00000000" w:rsidR="00000000" w:rsidRPr="00000000">
        <w:rPr>
          <w:rFonts w:ascii="Google Sans" w:cs="Google Sans" w:eastAsia="Google Sans" w:hAnsi="Google Sans"/>
          <w:color w:val="1f1f1f"/>
        </w:rPr>
        <w:drawing>
          <wp:inline distB="19050" distT="19050" distL="19050" distR="19050">
            <wp:extent cx="784027" cy="238283"/>
            <wp:effectExtent b="0" l="0" r="0" t="0"/>
            <wp:docPr id="98" name="image66.png"/>
            <a:graphic>
              <a:graphicData uri="http://schemas.openxmlformats.org/drawingml/2006/picture">
                <pic:pic>
                  <pic:nvPicPr>
                    <pic:cNvPr id="0" name="image66.png"/>
                    <pic:cNvPicPr preferRelativeResize="0"/>
                  </pic:nvPicPr>
                  <pic:blipFill>
                    <a:blip r:embed="rId113"/>
                    <a:srcRect b="0" l="0" r="0" t="0"/>
                    <a:stretch>
                      <a:fillRect/>
                    </a:stretch>
                  </pic:blipFill>
                  <pic:spPr>
                    <a:xfrm>
                      <a:off x="0" y="0"/>
                      <a:ext cx="784027" cy="238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calendar dates (except year), telephone numbers, Social Security numbers, and medical record numbers—are removed prior to commercial visualization ingestion.</w:t>
      </w:r>
    </w:p>
    <w:p w:rsidR="00000000" w:rsidDel="00000000" w:rsidP="00000000" w:rsidRDefault="00000000" w:rsidRPr="00000000" w14:paraId="0000016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Expert Determination Method (§ 164.514(a)): For granular territory optimization requiring 3-digit ZIP codes and encounter-month intervals, an independent biostatistical risk evaluation is conducted. The mathematical risk of re-identification is bound below </w:t>
      </w:r>
      <w:r w:rsidDel="00000000" w:rsidR="00000000" w:rsidRPr="00000000">
        <w:rPr>
          <w:rFonts w:ascii="Google Sans" w:cs="Google Sans" w:eastAsia="Google Sans" w:hAnsi="Google Sans"/>
          <w:color w:val="1f1f1f"/>
        </w:rPr>
        <w:drawing>
          <wp:inline distB="19050" distT="19050" distL="19050" distR="19050">
            <wp:extent cx="511612" cy="236716"/>
            <wp:effectExtent b="0" l="0" r="0" t="0"/>
            <wp:docPr id="97" name="image96.png"/>
            <a:graphic>
              <a:graphicData uri="http://schemas.openxmlformats.org/drawingml/2006/picture">
                <pic:pic>
                  <pic:nvPicPr>
                    <pic:cNvPr id="0" name="image96.png"/>
                    <pic:cNvPicPr preferRelativeResize="0"/>
                  </pic:nvPicPr>
                  <pic:blipFill>
                    <a:blip r:embed="rId114"/>
                    <a:srcRect b="0" l="0" r="0" t="0"/>
                    <a:stretch>
                      <a:fillRect/>
                    </a:stretch>
                  </pic:blipFill>
                  <pic:spPr>
                    <a:xfrm>
                      <a:off x="0" y="0"/>
                      <a:ext cx="511612" cy="236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standard attack scenarios: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8736"/>
            <wp:effectExtent b="0" l="0" r="0" t="0"/>
            <wp:docPr id="94" name="image67.png"/>
            <a:graphic>
              <a:graphicData uri="http://schemas.openxmlformats.org/drawingml/2006/picture">
                <pic:pic>
                  <pic:nvPicPr>
                    <pic:cNvPr id="0" name="image67.png"/>
                    <pic:cNvPicPr preferRelativeResize="0"/>
                  </pic:nvPicPr>
                  <pic:blipFill>
                    <a:blip r:embed="rId115"/>
                    <a:srcRect b="0" l="0" r="0" t="0"/>
                    <a:stretch>
                      <a:fillRect/>
                    </a:stretch>
                  </pic:blipFill>
                  <pic:spPr>
                    <a:xfrm>
                      <a:off x="0" y="0"/>
                      <a:ext cx="5905500" cy="64873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Aggregation Rules and Minimum Cell Suppression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indirect patient re-identification when regional leadership (GMs, AGMs) or field specialists drill down into granular clinical data, the analytics layer enforces dynamic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-anonymity and minimum cell suppression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1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-Anonymity Standard (</w:t>
      </w:r>
      <w:r w:rsidDel="00000000" w:rsidR="00000000" w:rsidRPr="00000000">
        <w:rPr>
          <w:rFonts w:ascii="Google Sans" w:cs="Google Sans" w:eastAsia="Google Sans" w:hAnsi="Google Sans"/>
          <w:color w:val="1f1f1f"/>
        </w:rPr>
        <w:drawing>
          <wp:inline distB="19050" distT="19050" distL="19050" distR="19050">
            <wp:extent cx="565547" cy="247911"/>
            <wp:effectExtent b="0" l="0" r="0" t="0"/>
            <wp:docPr id="110" name="image40.png"/>
            <a:graphic>
              <a:graphicData uri="http://schemas.openxmlformats.org/drawingml/2006/picture">
                <pic:pic>
                  <pic:nvPicPr>
                    <pic:cNvPr id="0" name="image40.png"/>
                    <pic:cNvPicPr preferRelativeResize="0"/>
                  </pic:nvPicPr>
                  <pic:blipFill>
                    <a:blip r:embed="rId108"/>
                    <a:srcRect b="0" l="0" r="0" t="0"/>
                    <a:stretch>
                      <a:fillRect/>
                    </a:stretch>
                  </pic:blipFill>
                  <pic:spPr>
                    <a:xfrm>
                      <a:off x="0" y="0"/>
                      <a:ext cx="565547" cy="247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Adhering to the Centers for Medicare &amp; Medicaid Services (CMS) Cell Suppression Policy, any reporting cohort, aggregated table cell, or dashboard visualization that yields a patient count between 1 and 10 is suppressed and displayed as "&lt; 11"</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 cell value of zero (</w:t>
      </w:r>
      <w:r w:rsidDel="00000000" w:rsidR="00000000" w:rsidRPr="00000000">
        <w:rPr>
          <w:rFonts w:ascii="Google Sans" w:cs="Google Sans" w:eastAsia="Google Sans" w:hAnsi="Google Sans"/>
          <w:color w:val="1f1f1f"/>
        </w:rPr>
        <w:drawing>
          <wp:inline distB="19050" distT="19050" distL="19050" distR="19050">
            <wp:extent cx="476964" cy="246175"/>
            <wp:effectExtent b="0" l="0" r="0" t="0"/>
            <wp:docPr id="108" name="image110.png"/>
            <a:graphic>
              <a:graphicData uri="http://schemas.openxmlformats.org/drawingml/2006/picture">
                <pic:pic>
                  <pic:nvPicPr>
                    <pic:cNvPr id="0" name="image110.png"/>
                    <pic:cNvPicPr preferRelativeResize="0"/>
                  </pic:nvPicPr>
                  <pic:blipFill>
                    <a:blip r:embed="rId116"/>
                    <a:srcRect b="0" l="0" r="0" t="0"/>
                    <a:stretch>
                      <a:fillRect/>
                    </a:stretch>
                  </pic:blipFill>
                  <pic:spPr>
                    <a:xfrm>
                      <a:off x="0" y="0"/>
                      <a:ext cx="476964" cy="246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 not violate the threshold and is permitted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Complementary (Secondary) Suppression: If a suppressed cell can be derived algebraically by subtracting the remaining visible cells from the reported marginal row or column total, the platform automatically suppresses the next smallest unsuppressed cell to prevent algebraic reconstruction: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1023263"/>
            <wp:effectExtent b="0" l="0" r="0" t="0"/>
            <wp:docPr id="114" name="image121.png"/>
            <a:graphic>
              <a:graphicData uri="http://schemas.openxmlformats.org/drawingml/2006/picture">
                <pic:pic>
                  <pic:nvPicPr>
                    <pic:cNvPr id="0" name="image121.png"/>
                    <pic:cNvPicPr preferRelativeResize="0"/>
                  </pic:nvPicPr>
                  <pic:blipFill>
                    <a:blip r:embed="rId117"/>
                    <a:srcRect b="0" l="0" r="0" t="0"/>
                    <a:stretch>
                      <a:fillRect/>
                    </a:stretch>
                  </pic:blipFill>
                  <pic:spPr>
                    <a:xfrm>
                      <a:off x="0" y="0"/>
                      <a:ext cx="5905500" cy="102326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270" cy="249079"/>
            <wp:effectExtent b="0" l="0" r="0" t="0"/>
            <wp:docPr id="112" name="image99.png"/>
            <a:graphic>
              <a:graphicData uri="http://schemas.openxmlformats.org/drawingml/2006/picture">
                <pic:pic>
                  <pic:nvPicPr>
                    <pic:cNvPr id="0" name="image99.png"/>
                    <pic:cNvPicPr preferRelativeResize="0"/>
                  </pic:nvPicPr>
                  <pic:blipFill>
                    <a:blip r:embed="rId118"/>
                    <a:srcRect b="0" l="0" r="0" t="0"/>
                    <a:stretch>
                      <a:fillRect/>
                    </a:stretch>
                  </pic:blipFill>
                  <pic:spPr>
                    <a:xfrm>
                      <a:off x="0" y="0"/>
                      <a:ext cx="62270" cy="2490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-Diversity and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105"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-Closeness: To defend against attribute disclosure attacks, every equivalent cohort sharing quasi-identifiers must contain at least </w:t>
      </w:r>
      <w:r w:rsidDel="00000000" w:rsidR="00000000" w:rsidRPr="00000000">
        <w:rPr>
          <w:rFonts w:ascii="Google Sans" w:cs="Google Sans" w:eastAsia="Google Sans" w:hAnsi="Google Sans"/>
          <w:color w:val="1f1f1f"/>
        </w:rPr>
        <w:drawing>
          <wp:inline distB="19050" distT="19050" distL="19050" distR="19050">
            <wp:extent cx="421600" cy="245295"/>
            <wp:effectExtent b="0" l="0" r="0" t="0"/>
            <wp:docPr id="104" name="image82.png"/>
            <a:graphic>
              <a:graphicData uri="http://schemas.openxmlformats.org/drawingml/2006/picture">
                <pic:pic>
                  <pic:nvPicPr>
                    <pic:cNvPr id="0" name="image82.png"/>
                    <pic:cNvPicPr preferRelativeResize="0"/>
                  </pic:nvPicPr>
                  <pic:blipFill>
                    <a:blip r:embed="rId119"/>
                    <a:srcRect b="0" l="0" r="0" t="0"/>
                    <a:stretch>
                      <a:fillRect/>
                    </a:stretch>
                  </pic:blipFill>
                  <pic:spPr>
                    <a:xfrm>
                      <a:off x="0" y="0"/>
                      <a:ext cx="421600" cy="2452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distinct clinical values (e.g., distinct diagnoses or medications), and the probability distribution of sensitive attributes within any slice must maintain a distance of </w:t>
      </w:r>
      <w:r w:rsidDel="00000000" w:rsidR="00000000" w:rsidRPr="00000000">
        <w:rPr>
          <w:rFonts w:ascii="Google Sans" w:cs="Google Sans" w:eastAsia="Google Sans" w:hAnsi="Google Sans"/>
          <w:color w:val="1f1f1f"/>
        </w:rPr>
        <w:drawing>
          <wp:inline distB="19050" distT="19050" distL="19050" distR="19050">
            <wp:extent cx="680561" cy="247477"/>
            <wp:effectExtent b="0" l="0" r="0" t="0"/>
            <wp:docPr id="107" name="image92.png"/>
            <a:graphic>
              <a:graphicData uri="http://schemas.openxmlformats.org/drawingml/2006/picture">
                <pic:pic>
                  <pic:nvPicPr>
                    <pic:cNvPr id="0" name="image92.png"/>
                    <pic:cNvPicPr preferRelativeResize="0"/>
                  </pic:nvPicPr>
                  <pic:blipFill>
                    <a:blip r:embed="rId120"/>
                    <a:srcRect b="0" l="0" r="0" t="0"/>
                    <a:stretch>
                      <a:fillRect/>
                    </a:stretch>
                  </pic:blipFill>
                  <pic:spPr>
                    <a:xfrm>
                      <a:off x="0" y="0"/>
                      <a:ext cx="680561" cy="247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global population distribution under the Earth Mover's Distance (Wasserstein metric).</w:t>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Data Privacy Defenses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healthcare data generated by TabDDPM or Synthcity is subjected to privacy validation prior to deployment:</w:t>
      </w:r>
    </w:p>
    <w:p w:rsidR="00000000" w:rsidDel="00000000" w:rsidP="00000000" w:rsidRDefault="00000000" w:rsidRPr="00000000" w14:paraId="0000016F">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Differential Privacy Guarantees: Generative training executes under </w:t>
      </w:r>
      <w:r w:rsidDel="00000000" w:rsidR="00000000" w:rsidRPr="00000000">
        <w:rPr>
          <w:rFonts w:ascii="Google Sans" w:cs="Google Sans" w:eastAsia="Google Sans" w:hAnsi="Google Sans"/>
          <w:color w:val="1f1f1f"/>
        </w:rPr>
        <w:drawing>
          <wp:inline distB="19050" distT="19050" distL="19050" distR="19050">
            <wp:extent cx="413861" cy="249878"/>
            <wp:effectExtent b="0" l="0" r="0" t="0"/>
            <wp:docPr id="106" name="image73.png"/>
            <a:graphic>
              <a:graphicData uri="http://schemas.openxmlformats.org/drawingml/2006/picture">
                <pic:pic>
                  <pic:nvPicPr>
                    <pic:cNvPr id="0" name="image73.png"/>
                    <pic:cNvPicPr preferRelativeResize="0"/>
                  </pic:nvPicPr>
                  <pic:blipFill>
                    <a:blip r:embed="rId121"/>
                    <a:srcRect b="0" l="0" r="0" t="0"/>
                    <a:stretch>
                      <a:fillRect/>
                    </a:stretch>
                  </pic:blipFill>
                  <pic:spPr>
                    <a:xfrm>
                      <a:off x="0" y="0"/>
                      <a:ext cx="413861" cy="2498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-Differential Privacy boundaries, ensuring that for any two neighboring patient datasets </w:t>
      </w:r>
      <w:r w:rsidDel="00000000" w:rsidR="00000000" w:rsidRPr="00000000">
        <w:rPr>
          <w:rFonts w:ascii="Google Sans" w:cs="Google Sans" w:eastAsia="Google Sans" w:hAnsi="Google Sans"/>
          <w:color w:val="1f1f1f"/>
        </w:rPr>
        <w:drawing>
          <wp:inline distB="19050" distT="19050" distL="19050" distR="19050">
            <wp:extent cx="568404" cy="242519"/>
            <wp:effectExtent b="0" l="0" r="0" t="0"/>
            <wp:docPr id="67" name="image51.png"/>
            <a:graphic>
              <a:graphicData uri="http://schemas.openxmlformats.org/drawingml/2006/picture">
                <pic:pic>
                  <pic:nvPicPr>
                    <pic:cNvPr id="0" name="image51.png"/>
                    <pic:cNvPicPr preferRelativeResize="0"/>
                  </pic:nvPicPr>
                  <pic:blipFill>
                    <a:blip r:embed="rId122"/>
                    <a:srcRect b="0" l="0" r="0" t="0"/>
                    <a:stretch>
                      <a:fillRect/>
                    </a:stretch>
                  </pic:blipFill>
                  <pic:spPr>
                    <a:xfrm>
                      <a:off x="0" y="0"/>
                      <a:ext cx="568404" cy="242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differing by a single individual: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55424"/>
            <wp:effectExtent b="0" l="0" r="0" t="0"/>
            <wp:docPr id="72" name="image57.png"/>
            <a:graphic>
              <a:graphicData uri="http://schemas.openxmlformats.org/drawingml/2006/picture">
                <pic:pic>
                  <pic:nvPicPr>
                    <pic:cNvPr id="0" name="image57.png"/>
                    <pic:cNvPicPr preferRelativeResize="0"/>
                  </pic:nvPicPr>
                  <pic:blipFill>
                    <a:blip r:embed="rId123"/>
                    <a:srcRect b="0" l="0" r="0" t="0"/>
                    <a:stretch>
                      <a:fillRect/>
                    </a:stretch>
                  </pic:blipFill>
                  <pic:spPr>
                    <a:xfrm>
                      <a:off x="0" y="0"/>
                      <a:ext cx="5905500" cy="6554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with parameters calibrated to </w:t>
      </w:r>
      <w:r w:rsidDel="00000000" w:rsidR="00000000" w:rsidRPr="00000000">
        <w:rPr>
          <w:rFonts w:ascii="Google Sans" w:cs="Google Sans" w:eastAsia="Google Sans" w:hAnsi="Google Sans"/>
          <w:color w:val="1f1f1f"/>
        </w:rPr>
        <w:drawing>
          <wp:inline distB="19050" distT="19050" distL="19050" distR="19050">
            <wp:extent cx="591383" cy="245770"/>
            <wp:effectExtent b="0" l="0" r="0" t="0"/>
            <wp:docPr id="70"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1383" cy="245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36759" cy="245586"/>
            <wp:effectExtent b="0" l="0" r="0" t="0"/>
            <wp:docPr id="61"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736759" cy="245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Membership Inference Attack (MIA) Defense: The platform trains shadow generative models to simulate adversarial membership inference attacks. Any synthetic patient profile that yields an empirical MIA attack accuracy greater than </w:t>
      </w:r>
      <w:r w:rsidDel="00000000" w:rsidR="00000000" w:rsidRPr="00000000">
        <w:rPr>
          <w:rFonts w:ascii="Google Sans" w:cs="Google Sans" w:eastAsia="Google Sans" w:hAnsi="Google Sans"/>
          <w:color w:val="1f1f1f"/>
        </w:rPr>
        <w:drawing>
          <wp:inline distB="19050" distT="19050" distL="19050" distR="19050">
            <wp:extent cx="511612" cy="236716"/>
            <wp:effectExtent b="0" l="0" r="0" t="0"/>
            <wp:docPr id="59" name="image65.png"/>
            <a:graphic>
              <a:graphicData uri="http://schemas.openxmlformats.org/drawingml/2006/picture">
                <pic:pic>
                  <pic:nvPicPr>
                    <pic:cNvPr id="0" name="image65.png"/>
                    <pic:cNvPicPr preferRelativeResize="0"/>
                  </pic:nvPicPr>
                  <pic:blipFill>
                    <a:blip r:embed="rId124"/>
                    <a:srcRect b="0" l="0" r="0" t="0"/>
                    <a:stretch>
                      <a:fillRect/>
                    </a:stretch>
                  </pic:blipFill>
                  <pic:spPr>
                    <a:xfrm>
                      <a:off x="0" y="0"/>
                      <a:ext cx="511612" cy="236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(barely exceeding random chance) is removed.</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Promotion &amp; Advertising Guardrails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firewall enforces strict boundaries between promotional commercial operations and non-promotional scientific exchange.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organizational and legal boundaries separating commercial sales from Medical Affairs operate across two independent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4">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Commercial Detailing Workflow (Promotional): Constrained to on-label marketing authorized under 21 U.S.C. § 331 and 21 CFR § 201.128</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Representatives engage prescribers using approved indications, FDA-reviewed clinical endpoints, and balanced safety summaries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5">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Medical Affairs Scientific Exchange Workflow (Non-Promotional): Governed by the FDA 2011 Draft Guidance </w:t>
      </w:r>
      <w:r w:rsidDel="00000000" w:rsidR="00000000" w:rsidRPr="00000000">
        <w:rPr>
          <w:rFonts w:ascii="Google Sans" w:cs="Google Sans" w:eastAsia="Google Sans" w:hAnsi="Google Sans"/>
          <w:i w:val="1"/>
          <w:iCs w:val="1"/>
          <w:color w:val="1f1f1f"/>
          <w:rtl w:val="0"/>
        </w:rPr>
        <w:t xml:space="preserve">Responding to Unsolicited Requests for Off-Label Information About Prescription Drugs and Medical Devices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HCP initiates an unsolicited off-label question, the commercial representative is barred from answering and must route the inquiry to an independent Medical Information Request (MIR) queue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Medical Science Liaison delivers balanced, peer-reviewed scientific literature directly to the clinician without commercial participation or sales-driven compensation incentives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FDA Office of Prescription Drug Promotion (OPDP) Compliance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pharmaceutical communications are strictly regulated under the Federal Food, Drug, and Cosmetic Act (FD&amp;C Act) (21 U.S.C. § 331) and related implementing regulations (21 CFR Part 201)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8">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"Intended Use" Doctrine (21 CFR § 201.128): Any promotional statement, detailing script, or digital material suggesting an unapproved use, unapproved patient cohort, or off-label dosage establishes a new "intended use," rendering the therapeutic product an unapproved new drug or misbranded product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2018 FDA CFL Guidance Compliance: Promotional statements not directly quoted from the product label must remain "Consistent with the FDA-Required Labeling" (CFL)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All supporting evidence must meet the standard of Competent and Reliable Scientific Evidence (CARSE)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A">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Fair Balance Mandate: 21 CFR § 202.1 requires that promotional representations of efficacy and clinical benefits be presented with a balanced discussion of side effects, contraindications, and warnings, using comparable prominence, typography, and narrative placement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platform's Governance Agent rejects any generative output that isolates efficacy metrics without pairing them with their corresponding adverse event frequencies.</w:t>
      </w:r>
    </w:p>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Separation of Commercial Detailing and Medical Affairs (MSL) Workflows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maintains an organizational and technical firewall separating commercial detailing from scientific exchange, adhering to the FDA 2011 Draft Guidance </w:t>
      </w:r>
      <w:r w:rsidDel="00000000" w:rsidR="00000000" w:rsidRPr="00000000">
        <w:rPr>
          <w:rFonts w:ascii="Google Sans" w:cs="Google Sans" w:eastAsia="Google Sans" w:hAnsi="Google Sans"/>
          <w:i w:val="1"/>
          <w:iCs w:val="1"/>
          <w:color w:val="1f1f1f"/>
          <w:rtl w:val="0"/>
        </w:rPr>
        <w:t xml:space="preserve">Responding to Unsolicited Requests for Off-Label Information About Prescription Drugs and Medical Devices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D">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Commercial Sales Restriction: Commercial representatives may discuss only on-label indications, dosing regimens, and approved clinical trial results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 healthcare provider initiates an unsolicited inquiry regarding an off-label use, the sales representative cannot answer, expand, or introduce supporting promotional materials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E">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Unsolicited Medical Information Request (MIR) Workflow: When an off-label inquiry occurs, the commercial representative logs the interaction using a restricted platform interface that collects:</w:t>
      </w:r>
    </w:p>
    <w:p w:rsidR="00000000" w:rsidDel="00000000" w:rsidP="00000000" w:rsidRDefault="00000000" w:rsidRPr="00000000" w14:paraId="0000017F">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exact, unedited language of the provider's question.</w:t>
      </w:r>
    </w:p>
    <w:p w:rsidR="00000000" w:rsidDel="00000000" w:rsidP="00000000" w:rsidRDefault="00000000" w:rsidRPr="00000000" w14:paraId="00000180">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Confirmation that the request was entirely unsolicited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1">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preferred method of follow-up from Medical Affairs.</w:t>
      </w:r>
    </w:p>
    <w:p w:rsidR="00000000" w:rsidDel="00000000" w:rsidP="00000000" w:rsidRDefault="00000000" w:rsidRPr="00000000" w14:paraId="00000182">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Medical Affairs Scientific Exchange: The request is routed to an independent Medical Science Liaison (MSL) working under Medical Affairs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MSL responses must be truthful, non-misleading, scientifically balanced, and delivered directly to the requesting provider without commercial involvement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MSLs are evaluated on scientific engagement and medical education quality, with no compensation tied to sales volume or prescribing targets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CFR Part 11 &amp; GxP Compliance Architecture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platform processes clinical data and drives regulated enterprise workflows, it complies with FDA 21 CFR Part 11 requirements for electronic records and electronic signatures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5">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Tamper-Evident Immutable Audit Trails (21 CFR § 11.10(e)): Every system event—including data ingestion, record transformation, model inference, user query submission, and generative output delivery—is logged to an append-only, cryptographically verifiable audit trail</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Audit logs capture operator ID, precise UTC timestamps, input parameter hashes, model version IDs, and output checksums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6">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Deterministic Algorithm Versioning: Every model weights checkpoint, prompt template, retrieval index version, and ontology database snapshot is tagged with an immutable SHA-256 hash. Rerunning a historical query against a specific timestamp produces an identical execution trace, ensuring reproducibility during regulatory audits.</w:t>
      </w:r>
    </w:p>
    <w:p w:rsidR="00000000" w:rsidDel="00000000" w:rsidP="00000000" w:rsidRDefault="00000000" w:rsidRPr="00000000" w14:paraId="00000187">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Dual-Key Electronic Signatures (21 CFR § 11.50, § 11.70): Workflow approvals (e.g., promotional material clearance, territory realignment sign-offs) require multi-factor electronic signatures combining user credentials with cryptographic signing tokens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8">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PhRMA Code on Interactions with Healthcare Professionals: All field operations support compliance with the PhRMA Code, capturing spend boundaries for modest educational items, tracking scientific exchange events, and providing feeds for federal Sunshine Act (Open Payments) reporting.</w:t>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Defensible IP, White Space Analysis &amp; Patent Disclosures</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White-Space Analysis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commercial life sciences platforms maintain functional and architectural boundaries that limit their ability to execute multi-agent reasoning across mixed clinical and regulatory data:</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 /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Veeva Systems (Vault / CRM)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IQVIA Orchestrated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Komodo Health (Healthcare 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Definitive Healthcare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Disclosed Enterprise Copilot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Architectural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cloud CRM and document management repositories.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Large-scale closed claims aggregation and prescription switch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Aggregated longitudinal claims mapping across US patient lives.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facility and physician directory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Multi-layered agentic graph orchestration bridging real-world EHR, claims, and regulatory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Structuring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document upload with human tagging and static metadata 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optical character recognition and proprietary ETL parsing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Tabular claim aggregation pipelines; limited unstructured text intake.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research scraping and self-reported hospital data intake.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Autonomous multi-modal parsing (LayoutLM + BioLinkBERT) with recursive CRAG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Prescriber Micro-Targeting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decile targeting based on trailing 12-month prescription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static Next-Best-Action (NBA) rules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Cohort-level patient prevalence mapping without direct detailing synthesis.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 affiliation mapping and basic referral volume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temporal graph neural networks (KAT-GNN + HiTGNN) forecasting brand switching and leakage.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&amp; Label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Human-in-the-loop review boards (MLR) before material publication.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Hardcoded promotional rule triggers in sales force automation modules.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native automated regulatory product labeling synthesis.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integrated regulatory labeling intelligence or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Self-reflective tokens (</w:t>
            </w:r>
            <w:r w:rsidDel="00000000" w:rsidR="00000000" w:rsidRPr="00000000">
              <w:rPr>
                <w:rFonts w:ascii="Google Sans" w:cs="Google Sans" w:eastAsia="Google Sans" w:hAnsi="Google Sans"/>
                <w:b w:val="1"/>
                <w:bCs w:val="1"/>
                <w:color w:val="1f1f1f"/>
              </w:rPr>
              <w:drawing>
                <wp:inline distB="19050" distT="19050" distL="19050" distR="19050">
                  <wp:extent cx="514231" cy="245603"/>
                  <wp:effectExtent b="0" l="0" r="0" t="0"/>
                  <wp:docPr id="65"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514231" cy="24560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Pr>
              <w:drawing>
                <wp:inline distB="19050" distT="19050" distL="19050" distR="19050">
                  <wp:extent cx="729258" cy="243086"/>
                  <wp:effectExtent b="0" l="0" r="0" t="0"/>
                  <wp:docPr id="63"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729258" cy="24308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enforcing real-time OPDP fair balance and on-label grounding.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Provenance &amp; Explainability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Coarse document-level version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 dataset attribution; no cell-level deterministic tracing.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Cohort-level provenance; no token-level semantic tracing.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directory sourcing; no dynamic retrieval lineage.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Deterministic cell-level, table-coordinate, and paragraph-UUID inline attribution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 Safeguards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database access permissions and coarse field-level encryption.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static batch aggregation and manual suppression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data masking; static de-identification exports.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aggregation of publicly available directory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w:t>
            </w:r>
            <w:r w:rsidDel="00000000" w:rsidR="00000000" w:rsidRPr="00000000">
              <w:rPr>
                <w:rFonts w:ascii="Google Sans" w:cs="Google Sans" w:eastAsia="Google Sans" w:hAnsi="Google Sans"/>
                <w:b w:val="1"/>
                <w:bCs w:val="1"/>
                <w:color w:val="1f1f1f"/>
              </w:rPr>
              <w:drawing>
                <wp:inline distB="19050" distT="19050" distL="19050" distR="19050">
                  <wp:extent cx="108228" cy="266407"/>
                  <wp:effectExtent b="0" l="0" r="0" t="0"/>
                  <wp:docPr id="5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-anonymity (</w:t>
            </w:r>
            <w:r w:rsidDel="00000000" w:rsidR="00000000" w:rsidRPr="00000000">
              <w:rPr>
                <w:rFonts w:ascii="Google Sans" w:cs="Google Sans" w:eastAsia="Google Sans" w:hAnsi="Google Sans"/>
                <w:b w:val="1"/>
                <w:bCs w:val="1"/>
                <w:color w:val="1f1f1f"/>
              </w:rPr>
              <w:drawing>
                <wp:inline distB="19050" distT="19050" distL="19050" distR="19050">
                  <wp:extent cx="565547" cy="247911"/>
                  <wp:effectExtent b="0" l="0" r="0" t="0"/>
                  <wp:docPr id="52" name="image40.png"/>
                  <a:graphic>
                    <a:graphicData uri="http://schemas.openxmlformats.org/drawingml/2006/picture">
                      <pic:pic>
                        <pic:nvPicPr>
                          <pic:cNvPr id="0" name="image40.png"/>
                          <pic:cNvPicPr preferRelativeResize="0"/>
                        </pic:nvPicPr>
                        <pic:blipFill>
                          <a:blip r:embed="rId108"/>
                          <a:srcRect b="0" l="0" r="0" t="0"/>
                          <a:stretch>
                            <a:fillRect/>
                          </a:stretch>
                        </pic:blipFill>
                        <pic:spPr>
                          <a:xfrm>
                            <a:off x="0" y="0"/>
                            <a:ext cx="565547" cy="24791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with secondary suppression and </w:t>
            </w:r>
            <w:r w:rsidDel="00000000" w:rsidR="00000000" w:rsidRPr="00000000">
              <w:rPr>
                <w:rFonts w:ascii="Google Sans" w:cs="Google Sans" w:eastAsia="Google Sans" w:hAnsi="Google Sans"/>
                <w:b w:val="1"/>
                <w:bCs w:val="1"/>
                <w:color w:val="1f1f1f"/>
              </w:rPr>
              <w:drawing>
                <wp:inline distB="19050" distT="19050" distL="19050" distR="19050">
                  <wp:extent cx="413861" cy="249878"/>
                  <wp:effectExtent b="0" l="0" r="0" t="0"/>
                  <wp:docPr id="57" name="image73.png"/>
                  <a:graphic>
                    <a:graphicData uri="http://schemas.openxmlformats.org/drawingml/2006/picture">
                      <pic:pic>
                        <pic:nvPicPr>
                          <pic:cNvPr id="0" name="image73.png"/>
                          <pic:cNvPicPr preferRelativeResize="0"/>
                        </pic:nvPicPr>
                        <pic:blipFill>
                          <a:blip r:embed="rId121"/>
                          <a:srcRect b="0" l="0" r="0" t="0"/>
                          <a:stretch>
                            <a:fillRect/>
                          </a:stretch>
                        </pic:blipFill>
                        <pic:spPr>
                          <a:xfrm>
                            <a:off x="0" y="0"/>
                            <a:ext cx="413861" cy="24987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-DP bounds.</w:t>
            </w:r>
          </w:p>
        </w:tc>
      </w:tr>
    </w:tbl>
    <w:p w:rsidR="00000000" w:rsidDel="00000000" w:rsidP="00000000" w:rsidRDefault="00000000" w:rsidRPr="00000000" w14:paraId="000001B6">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Technical White Spaces Identified</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benchmarking uncovers three critical white spaces across commercial life sciences tooling:</w:t>
      </w:r>
    </w:p>
    <w:p w:rsidR="00000000" w:rsidDel="00000000" w:rsidP="00000000" w:rsidRDefault="00000000" w:rsidRPr="00000000" w14:paraId="000001B8">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Integrated Reasoning Across Disparate Modalities: Incumbent tools maintain segregated architectures for relational claims tables and unstructured clinical/regulatory text. They cannot execute dynamic multi-hop reasoning that connects longitudinal claims frequencies directly to paragraph-level FDA label contraindications in a single execution graph.</w:t>
      </w:r>
    </w:p>
    <w:p w:rsidR="00000000" w:rsidDel="00000000" w:rsidP="00000000" w:rsidRDefault="00000000" w:rsidRPr="00000000" w14:paraId="000001B9">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Autonomous Document-to-FHIR Structuring with Closed Regulatory Circuits: Current platforms lack layout-aware agentic pipelines capable of extracting noisy, handwritten prescription forms and validating extracted dosage parameters against approved package insert limits before committing FHIR resources.</w:t>
      </w:r>
    </w:p>
    <w:p w:rsidR="00000000" w:rsidDel="00000000" w:rsidP="00000000" w:rsidRDefault="00000000" w:rsidRPr="00000000" w14:paraId="000001BA">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Dynamic Promotional Compliance and Boundary Enforcement: Enterprise sales enablement tools rely on static promotional materials cleared through pre-publication review committees. They lack real-time guardrails to evaluate LLM outputs dynamically, enforce fair balance, and automatically firewall off-label commercial inquiries into Medical Information Request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Novel Patent Application Drafts &amp; Invention Disclosures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 patent disclosures below outline technical frameworks that solve these operational and architectural deficiencies.</w:t>
      </w:r>
    </w:p>
    <w:p w:rsidR="00000000" w:rsidDel="00000000" w:rsidP="00000000" w:rsidRDefault="00000000" w:rsidRPr="00000000" w14:paraId="000001B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Invention Disclosure 1: System and Method for Dynamic Multi-Layered Patient-Journey Graph Synthesis and Prescriber Conversion Forecasting</w:t>
      </w:r>
    </w:p>
    <w:p w:rsidR="00000000" w:rsidDel="00000000" w:rsidP="00000000" w:rsidRDefault="00000000" w:rsidRPr="00000000" w14:paraId="000001BE">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Field &amp; Specific Architectural Deficiency Solved</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invention relates to predictive graph neural networks for healthcare and commercial life sciences operations. Prior systems evaluate prescriber opportunity using static, trailing prescription deciles that fail to account for latent, undiagnosed patient cohorts, irregular time gaps between clinical encounters, or multi-echelon hospital-physician organizational networks, resulting in delayed commercial intervention and poor predictive accuracy.</w:t>
      </w:r>
    </w:p>
    <w:p w:rsidR="00000000" w:rsidDel="00000000" w:rsidP="00000000" w:rsidRDefault="00000000" w:rsidRPr="00000000" w14:paraId="000001C0">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Technical Method &amp; System Architecture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conversion system executes through the following method steps:</w:t>
      </w:r>
    </w:p>
    <w:p w:rsidR="00000000" w:rsidDel="00000000" w:rsidP="00000000" w:rsidRDefault="00000000" w:rsidRPr="00000000" w14:paraId="000001C2">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Ingesting longitudinal patient claims, diagnostic billing records, and clinical encounter notes partitioned across geographic territories.</w:t>
      </w:r>
    </w:p>
    <w:p w:rsidR="00000000" w:rsidDel="00000000" w:rsidP="00000000" w:rsidRDefault="00000000" w:rsidRPr="00000000" w14:paraId="000001C3">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Constructing a dynamic, heterogeneous temporal graph </w:t>
      </w:r>
      <w:r w:rsidDel="00000000" w:rsidR="00000000" w:rsidRPr="00000000">
        <w:rPr>
          <w:rFonts w:ascii="Google Sans" w:cs="Google Sans" w:eastAsia="Google Sans" w:hAnsi="Google Sans"/>
          <w:color w:val="1f1f1f"/>
        </w:rPr>
        <w:drawing>
          <wp:inline distB="19050" distT="19050" distL="19050" distR="19050">
            <wp:extent cx="1130256" cy="236743"/>
            <wp:effectExtent b="0" l="0" r="0" t="0"/>
            <wp:docPr id="88" name="image69.png"/>
            <a:graphic>
              <a:graphicData uri="http://schemas.openxmlformats.org/drawingml/2006/picture">
                <pic:pic>
                  <pic:nvPicPr>
                    <pic:cNvPr id="0" name="image69.png"/>
                    <pic:cNvPicPr preferRelativeResize="0"/>
                  </pic:nvPicPr>
                  <pic:blipFill>
                    <a:blip r:embed="rId125"/>
                    <a:srcRect b="0" l="0" r="0" t="0"/>
                    <a:stretch>
                      <a:fillRect/>
                    </a:stretch>
                  </pic:blipFill>
                  <pic:spPr>
                    <a:xfrm>
                      <a:off x="0" y="0"/>
                      <a:ext cx="1130256" cy="236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entity nodes </w:t>
      </w:r>
      <w:r w:rsidDel="00000000" w:rsidR="00000000" w:rsidRPr="00000000">
        <w:rPr>
          <w:rFonts w:ascii="Google Sans" w:cs="Google Sans" w:eastAsia="Google Sans" w:hAnsi="Google Sans"/>
          <w:color w:val="1f1f1f"/>
        </w:rPr>
        <w:drawing>
          <wp:inline distB="19050" distT="19050" distL="19050" distR="19050">
            <wp:extent cx="136208" cy="248378"/>
            <wp:effectExtent b="0" l="0" r="0" t="0"/>
            <wp:docPr id="86"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136208" cy="248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comprise patients, healthcare providers, clinics, diagnostic entities, and active ingredients.</w:t>
      </w:r>
    </w:p>
    <w:p w:rsidR="00000000" w:rsidDel="00000000" w:rsidP="00000000" w:rsidRDefault="00000000" w:rsidRPr="00000000" w14:paraId="000001C4">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Augmenting graph edges </w:t>
      </w:r>
      <w:r w:rsidDel="00000000" w:rsidR="00000000" w:rsidRPr="00000000">
        <w:rPr>
          <w:rFonts w:ascii="Google Sans" w:cs="Google Sans" w:eastAsia="Google Sans" w:hAnsi="Google Sans"/>
          <w:color w:val="1f1f1f"/>
        </w:rPr>
        <w:drawing>
          <wp:inline distB="19050" distT="19050" distL="19050" distR="19050">
            <wp:extent cx="120967" cy="234375"/>
            <wp:effectExtent b="0" l="0" r="0" t="0"/>
            <wp:docPr id="92"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120967" cy="234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clinical ontology relationships extracted from SNOMED-CT and RxNorm, linking related disease classifications and pharmacological mechanism nodes.</w:t>
      </w:r>
    </w:p>
    <w:p w:rsidR="00000000" w:rsidDel="00000000" w:rsidP="00000000" w:rsidRDefault="00000000" w:rsidRPr="00000000" w14:paraId="000001C5">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Encoding intra-encounter clinical features using multi-relational graph convolution layers to generate encounter-specific embeddings.</w:t>
      </w:r>
    </w:p>
    <w:p w:rsidR="00000000" w:rsidDel="00000000" w:rsidP="00000000" w:rsidRDefault="00000000" w:rsidRPr="00000000" w14:paraId="000001C6">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Processing longitudinal encounter embeddings through a continuous time-aware transformer that applies attention decay weights based on irregular elapsed time intervals </w:t>
      </w:r>
      <w:r w:rsidDel="00000000" w:rsidR="00000000" w:rsidRPr="00000000">
        <w:rPr>
          <w:rFonts w:ascii="Google Sans" w:cs="Google Sans" w:eastAsia="Google Sans" w:hAnsi="Google Sans"/>
          <w:color w:val="1f1f1f"/>
        </w:rPr>
        <w:drawing>
          <wp:inline distB="19050" distT="19050" distL="19050" distR="19050">
            <wp:extent cx="234077" cy="241628"/>
            <wp:effectExtent b="0" l="0" r="0" t="0"/>
            <wp:docPr id="90"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234077" cy="241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visits.</w:t>
      </w:r>
    </w:p>
    <w:p w:rsidR="00000000" w:rsidDel="00000000" w:rsidP="00000000" w:rsidRDefault="00000000" w:rsidRPr="00000000" w14:paraId="000001C7">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Projecting patient trajectory representations into an accelerated failure time survival model to compute the baseline hazard and survival curves for therapy discontinuation.</w:t>
      </w:r>
    </w:p>
    <w:p w:rsidR="00000000" w:rsidDel="00000000" w:rsidP="00000000" w:rsidRDefault="00000000" w:rsidRPr="00000000" w14:paraId="000001C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Aggregating patient survival vectors across an HCP's active patient network to predict the probability of therapeutic brand switching within a forward ninety-day window.</w:t>
      </w:r>
    </w:p>
    <w:p w:rsidR="00000000" w:rsidDel="00000000" w:rsidP="00000000" w:rsidRDefault="00000000" w:rsidRPr="00000000" w14:paraId="000001C9">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Generating an account opportunity index and automated next-best-action detailing recommendation within a commercial execution interface.</w:t>
      </w:r>
    </w:p>
    <w:p w:rsidR="00000000" w:rsidDel="00000000" w:rsidP="00000000" w:rsidRDefault="00000000" w:rsidRPr="00000000" w14:paraId="000001CA">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Defensible Patent Claims</w:t>
      </w:r>
    </w:p>
    <w:p w:rsidR="00000000" w:rsidDel="00000000" w:rsidP="00000000" w:rsidRDefault="00000000" w:rsidRPr="00000000" w14:paraId="000001CB">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Claim 1</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computer-implemented method for predicting therapeutic brand switching and healthcare provider conversion velocity, comprising:</w:t>
      </w:r>
    </w:p>
    <w:p w:rsidR="00000000" w:rsidDel="00000000" w:rsidP="00000000" w:rsidRDefault="00000000" w:rsidRPr="00000000" w14:paraId="000001CD">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Ingesting, by one or more processors, longitudinal healthcare encounters comprising structured claims, diagnostic codes, and prescription records;</w:t>
      </w:r>
    </w:p>
    <w:p w:rsidR="00000000" w:rsidDel="00000000" w:rsidP="00000000" w:rsidRDefault="00000000" w:rsidRPr="00000000" w14:paraId="000001CE">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Constructing a dynamic heterogeneous temporal graph comprising patient nodes, provider nodes, encounter nodes, and therapeutic agent nodes connected by chronological and ontological edges;</w:t>
      </w:r>
    </w:p>
    <w:p w:rsidR="00000000" w:rsidDel="00000000" w:rsidP="00000000" w:rsidRDefault="00000000" w:rsidRPr="00000000" w14:paraId="000001C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Propagating semantic representations across said nodes using a multi-relational graph neural network incorporating medical knowledge ontologies;</w:t>
      </w:r>
    </w:p>
    <w:p w:rsidR="00000000" w:rsidDel="00000000" w:rsidP="00000000" w:rsidRDefault="00000000" w:rsidRPr="00000000" w14:paraId="000001D0">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Computing, via a time-aware transformer network comprising continuous temporal attention decay functions, a longitudinal trajectory vector representing patient disease progression across irregular encounter intervals;</w:t>
      </w:r>
    </w:p>
    <w:p w:rsidR="00000000" w:rsidDel="00000000" w:rsidP="00000000" w:rsidRDefault="00000000" w:rsidRPr="00000000" w14:paraId="000001D1">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Predicting, via an integrated survival analysis engine, a quantitative hazard metric representing the likelihood of a patient discontinuing or switching an active therapeutic regimen;</w:t>
      </w:r>
    </w:p>
    <w:p w:rsidR="00000000" w:rsidDel="00000000" w:rsidP="00000000" w:rsidRDefault="00000000" w:rsidRPr="00000000" w14:paraId="000001D2">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Aggregating said hazard metrics across a network of patients associated with a specific healthcare provider node to compute a multi-horizon brand switching probability; and</w:t>
      </w:r>
    </w:p>
    <w:p w:rsidR="00000000" w:rsidDel="00000000" w:rsidP="00000000" w:rsidRDefault="00000000" w:rsidRPr="00000000" w14:paraId="000001D3">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Outputting, to an enterprise user interface, a prioritized commercial engagement ranking based on said brand switching probability.</w:t>
      </w:r>
    </w:p>
    <w:p w:rsidR="00000000" w:rsidDel="00000000" w:rsidP="00000000" w:rsidRDefault="00000000" w:rsidRPr="00000000" w14:paraId="000001D4">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2</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 of claim 1, wherein said continuous temporal attention decay function computes attention weights between a first encounter at time </w:t>
      </w:r>
      <w:r w:rsidDel="00000000" w:rsidR="00000000" w:rsidRPr="00000000">
        <w:rPr>
          <w:rFonts w:ascii="Google Sans" w:cs="Google Sans" w:eastAsia="Google Sans" w:hAnsi="Google Sans"/>
          <w:color w:val="1f1f1f"/>
        </w:rPr>
        <w:drawing>
          <wp:inline distB="19050" distT="19050" distL="19050" distR="19050">
            <wp:extent cx="149185" cy="238697"/>
            <wp:effectExtent b="0" l="0" r="0" t="0"/>
            <wp:docPr id="80" name="image106.png"/>
            <a:graphic>
              <a:graphicData uri="http://schemas.openxmlformats.org/drawingml/2006/picture">
                <pic:pic>
                  <pic:nvPicPr>
                    <pic:cNvPr id="0" name="image106.png"/>
                    <pic:cNvPicPr preferRelativeResize="0"/>
                  </pic:nvPicPr>
                  <pic:blipFill>
                    <a:blip r:embed="rId15"/>
                    <a:srcRect b="0" l="0" r="0" t="0"/>
                    <a:stretch>
                      <a:fillRect/>
                    </a:stretch>
                  </pic:blipFill>
                  <pic:spPr>
                    <a:xfrm>
                      <a:off x="0" y="0"/>
                      <a:ext cx="149185" cy="238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second encounter at time </w:t>
      </w:r>
      <w:r w:rsidDel="00000000" w:rsidR="00000000" w:rsidRPr="00000000">
        <w:rPr>
          <w:rFonts w:ascii="Google Sans" w:cs="Google Sans" w:eastAsia="Google Sans" w:hAnsi="Google Sans"/>
          <w:color w:val="1f1f1f"/>
        </w:rPr>
        <w:drawing>
          <wp:inline distB="19050" distT="19050" distL="19050" distR="19050">
            <wp:extent cx="149185" cy="238697"/>
            <wp:effectExtent b="0" l="0" r="0" t="0"/>
            <wp:docPr id="78"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149185" cy="238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 continuous parameterization </w:t>
      </w:r>
      <w:r w:rsidDel="00000000" w:rsidR="00000000" w:rsidRPr="00000000">
        <w:rPr>
          <w:rFonts w:ascii="Google Sans" w:cs="Google Sans" w:eastAsia="Google Sans" w:hAnsi="Google Sans"/>
          <w:color w:val="1f1f1f"/>
        </w:rPr>
        <w:drawing>
          <wp:inline distB="19050" distT="19050" distL="19050" distR="19050">
            <wp:extent cx="832009" cy="246521"/>
            <wp:effectExtent b="0" l="0" r="0" t="0"/>
            <wp:docPr id="84" name="image60.png"/>
            <a:graphic>
              <a:graphicData uri="http://schemas.openxmlformats.org/drawingml/2006/picture">
                <pic:pic>
                  <pic:nvPicPr>
                    <pic:cNvPr id="0" name="image60.png"/>
                    <pic:cNvPicPr preferRelativeResize="0"/>
                  </pic:nvPicPr>
                  <pic:blipFill>
                    <a:blip r:embed="rId126"/>
                    <a:srcRect b="0" l="0" r="0" t="0"/>
                    <a:stretch>
                      <a:fillRect/>
                    </a:stretch>
                  </pic:blipFill>
                  <pic:spPr>
                    <a:xfrm>
                      <a:off x="0" y="0"/>
                      <a:ext cx="832009" cy="246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models exponential decay in diagnostic relevance over elapsed time.</w:t>
      </w:r>
    </w:p>
    <w:p w:rsidR="00000000" w:rsidDel="00000000" w:rsidP="00000000" w:rsidRDefault="00000000" w:rsidRPr="00000000" w14:paraId="000001D6">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3</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 of claim 1, wherein aggregating said hazard metrics across a network of patients comprises evaluating institutional affiliation edges linking independent healthcare providers to parent Integrated Delivery Networks (IDNs) within the dynamic heterogeneous temporal graph, weighting switching probabilities by health system formulary compliance factors.</w:t>
      </w:r>
    </w:p>
    <w:p w:rsidR="00000000" w:rsidDel="00000000" w:rsidP="00000000" w:rsidRDefault="00000000" w:rsidRPr="00000000" w14:paraId="000001D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Invention Disclosure 2: Automated Multi-Modal Clinical Intake Extraction and Deterministic FHIR Normalization Pipeline with Recursive Self-Correction</w:t>
      </w:r>
    </w:p>
    <w:p w:rsidR="00000000" w:rsidDel="00000000" w:rsidP="00000000" w:rsidRDefault="00000000" w:rsidRPr="00000000" w14:paraId="000001D9">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Field &amp; Specific Architectural Deficiency Solved</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invention relates to document processing and clinical entity normalization. Prior optical character recognition (OCR) and clinical entity extraction systems fail on degraded, handwritten, or multi-column clinical intake forms, often generating ungrounded extractions without validating dosage limits or clinical indications against regulatory drug labeling.</w:t>
      </w:r>
    </w:p>
    <w:p w:rsidR="00000000" w:rsidDel="00000000" w:rsidP="00000000" w:rsidRDefault="00000000" w:rsidRPr="00000000" w14:paraId="000001DB">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Technical Method &amp; System Architecture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and normalization pipeline executes through the following method steps:</w:t>
      </w:r>
    </w:p>
    <w:p w:rsidR="00000000" w:rsidDel="00000000" w:rsidP="00000000" w:rsidRDefault="00000000" w:rsidRPr="00000000" w14:paraId="000001DD">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Ingesting a clinical document image and extracting coordinate-bound tokens and two-dimensional bounding box coordinates using layout-aware visual OCR.</w:t>
      </w:r>
    </w:p>
    <w:p w:rsidR="00000000" w:rsidDel="00000000" w:rsidP="00000000" w:rsidRDefault="00000000" w:rsidRPr="00000000" w14:paraId="000001DE">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Fusing visual layout embeddings, text token embeddings, and cross-document citation context derived from BioLinkBERT to produce context-aware token representations.</w:t>
      </w:r>
    </w:p>
    <w:p w:rsidR="00000000" w:rsidDel="00000000" w:rsidP="00000000" w:rsidRDefault="00000000" w:rsidRPr="00000000" w14:paraId="000001DF">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Extracting candidate prescription entity tuples (drug, dose, frequency, route, indication) using token-level classification heads.</w:t>
      </w:r>
    </w:p>
    <w:p w:rsidR="00000000" w:rsidDel="00000000" w:rsidP="00000000" w:rsidRDefault="00000000" w:rsidRPr="00000000" w14:paraId="000001E0">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Computing a scalar confidence score </w:t>
      </w:r>
      <w:r w:rsidDel="00000000" w:rsidR="00000000" w:rsidRPr="00000000">
        <w:rPr>
          <w:rFonts w:ascii="Google Sans" w:cs="Google Sans" w:eastAsia="Google Sans" w:hAnsi="Google Sans"/>
          <w:color w:val="1f1f1f"/>
        </w:rPr>
        <w:drawing>
          <wp:inline distB="19050" distT="19050" distL="19050" distR="19050">
            <wp:extent cx="744141" cy="245490"/>
            <wp:effectExtent b="0" l="0" r="0" t="0"/>
            <wp:docPr id="82"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744141" cy="245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extracted candidate tuple via a trained retrieval evaluator.</w:t>
      </w:r>
    </w:p>
    <w:p w:rsidR="00000000" w:rsidDel="00000000" w:rsidP="00000000" w:rsidRDefault="00000000" w:rsidRPr="00000000" w14:paraId="000001E1">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Branching execution based on the confidence score:</w:t>
      </w:r>
    </w:p>
    <w:p w:rsidR="00000000" w:rsidDel="00000000" w:rsidP="00000000" w:rsidRDefault="00000000" w:rsidRPr="00000000" w14:paraId="000001E2">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818793" cy="244873"/>
            <wp:effectExtent b="0" l="0" r="0" t="0"/>
            <wp:docPr id="74"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818793" cy="24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serializing the extracted tuple directly into an HL7 FHIR Release 4 MedicationRequest or Observation resource.</w:t>
      </w:r>
    </w:p>
    <w:p w:rsidR="00000000" w:rsidDel="00000000" w:rsidP="00000000" w:rsidRDefault="00000000" w:rsidRPr="00000000" w14:paraId="000001E3">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502092" cy="243995"/>
            <wp:effectExtent b="0" l="0" r="0" t="0"/>
            <wp:docPr id="73"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1502092" cy="243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querying an internal regulatory knowledge graph to verify whether the extracted dosage and indication match the FDA Structured Product Labeling (SPL) parameter bounds for the specified drug entity.</w:t>
      </w:r>
    </w:p>
    <w:p w:rsidR="00000000" w:rsidDel="00000000" w:rsidP="00000000" w:rsidRDefault="00000000" w:rsidRPr="00000000" w14:paraId="000001E4">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795695" cy="242497"/>
            <wp:effectExtent b="0" l="0" r="0" t="0"/>
            <wp:docPr id="40"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795695" cy="242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routing the document image and extracted candidate values to an asynchronous human-in-the-loop clinical review queue.</w:t>
      </w:r>
    </w:p>
    <w:p w:rsidR="00000000" w:rsidDel="00000000" w:rsidP="00000000" w:rsidRDefault="00000000" w:rsidRPr="00000000" w14:paraId="000001E5">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Serializing the validated entities into standardized FHIR JSON and relational database schemas with persistent token-coordinate provenance pointers.</w:t>
      </w:r>
    </w:p>
    <w:p w:rsidR="00000000" w:rsidDel="00000000" w:rsidP="00000000" w:rsidRDefault="00000000" w:rsidRPr="00000000" w14:paraId="000001E6">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Defensible Patent Claims</w:t>
      </w:r>
    </w:p>
    <w:p w:rsidR="00000000" w:rsidDel="00000000" w:rsidP="00000000" w:rsidRDefault="00000000" w:rsidRPr="00000000" w14:paraId="000001E7">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Claim 1</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for automated multi-modal clinical document structuring and regulatory validation, comprising:</w:t>
      </w:r>
    </w:p>
    <w:p w:rsidR="00000000" w:rsidDel="00000000" w:rsidP="00000000" w:rsidRDefault="00000000" w:rsidRPr="00000000" w14:paraId="000001E9">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document ingestion module configured to receive a visual clinical document image and extract two-dimensional spatial bounding boxes and textual tokens;</w:t>
      </w:r>
    </w:p>
    <w:p w:rsidR="00000000" w:rsidDel="00000000" w:rsidP="00000000" w:rsidRDefault="00000000" w:rsidRPr="00000000" w14:paraId="000001EA">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multi-modal transformer encoder configured to generate unified token representations by combining visual layout coordinates, textual tokens, and biomedical pre-training embeddings;</w:t>
      </w:r>
    </w:p>
    <w:p w:rsidR="00000000" w:rsidDel="00000000" w:rsidP="00000000" w:rsidRDefault="00000000" w:rsidRPr="00000000" w14:paraId="000001EB">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 entity extraction agent configured to identify a candidate prescription tuple comprising a therapeutic substance, a dosage magnitude, and a diagnostic indication;</w:t>
      </w:r>
    </w:p>
    <w:p w:rsidR="00000000" w:rsidDel="00000000" w:rsidP="00000000" w:rsidRDefault="00000000" w:rsidRPr="00000000" w14:paraId="000001EC">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retrieval evaluation engine configured to compute a scalar confidence metric for said candidate prescription tuple;</w:t>
      </w:r>
    </w:p>
    <w:p w:rsidR="00000000" w:rsidDel="00000000" w:rsidP="00000000" w:rsidRDefault="00000000" w:rsidRPr="00000000" w14:paraId="000001ED">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recursive verification circuit configured to compare said candidate prescription tuple against an internal regulatory knowledge graph populated with FDA Structured Product Labeling (SPL) parameter bounds when said scalar confidence metric falls within an intermediate threshold range; and</w:t>
      </w:r>
    </w:p>
    <w:p w:rsidR="00000000" w:rsidDel="00000000" w:rsidP="00000000" w:rsidRDefault="00000000" w:rsidRPr="00000000" w14:paraId="000001EE">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serialization engine configured to transform verified candidate prescription tuples into standard HL7 FHIR compliant JSON resources containing coordinate-level document provenance.</w:t>
      </w:r>
    </w:p>
    <w:p w:rsidR="00000000" w:rsidDel="00000000" w:rsidP="00000000" w:rsidRDefault="00000000" w:rsidRPr="00000000" w14:paraId="000001EF">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2</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of claim 1, wherein said recursive verification circuit validates that the extracted dosage magnitude falls strictly within the minimum and maximum recommended dosage limits specified in Section 2 of the FDA Structured Product Labeling for the extracted therapeutic substance.</w:t>
      </w:r>
    </w:p>
    <w:p w:rsidR="00000000" w:rsidDel="00000000" w:rsidP="00000000" w:rsidRDefault="00000000" w:rsidRPr="00000000" w14:paraId="000001F1">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3</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of claim 1, wherein said multi-modal transformer encoder incorporates cross-document relation prediction weights trained on hyperlinked and cited biomedical literature corpora to resolve abbreviations and pharmacological synonyms.</w:t>
      </w:r>
    </w:p>
    <w:p w:rsidR="00000000" w:rsidDel="00000000" w:rsidP="00000000" w:rsidRDefault="00000000" w:rsidRPr="00000000" w14:paraId="000001F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Invention Disclosure 3: Real-Time Governance-Constrained Multi-Agent Orchestration System for Promotional Life Sciences Inquiries</w:t>
      </w:r>
    </w:p>
    <w:p w:rsidR="00000000" w:rsidDel="00000000" w:rsidP="00000000" w:rsidRDefault="00000000" w:rsidRPr="00000000" w14:paraId="000001F4">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Field &amp; Specific Architectural Deficiency Solved</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invention relates to generative artificial intelligence orchestration and regulatory compliance enforcement. Prior conversational copilots lack real-time guardrails to prevent off-label promotional suggestions, enforce fair balance, or maintain legal firewalls separating commercial sales operations from non-promotional Medical Affairs workflows.</w:t>
      </w:r>
    </w:p>
    <w:p w:rsidR="00000000" w:rsidDel="00000000" w:rsidP="00000000" w:rsidRDefault="00000000" w:rsidRPr="00000000" w14:paraId="000001F6">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Technical Method &amp; System Architecture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compliance-governed orchestration workflow operates through the following method steps:</w:t>
      </w:r>
    </w:p>
    <w:p w:rsidR="00000000" w:rsidDel="00000000" w:rsidP="00000000" w:rsidRDefault="00000000" w:rsidRPr="00000000" w14:paraId="000001F8">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Ingesting an enterprise user query within a conversational copilot interface and extracting the user's role-based access control (RBAC) token.</w:t>
      </w:r>
    </w:p>
    <w:p w:rsidR="00000000" w:rsidDel="00000000" w:rsidP="00000000" w:rsidRDefault="00000000" w:rsidRPr="00000000" w14:paraId="000001F9">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Determining whether the user represents a commercial sales role or a medical affairs/scientific liaison role.</w:t>
      </w:r>
    </w:p>
    <w:p w:rsidR="00000000" w:rsidDel="00000000" w:rsidP="00000000" w:rsidRDefault="00000000" w:rsidRPr="00000000" w14:paraId="000001FA">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Parsing the semantic intent of the query and identifying mentions of pharmaceutical products, disease states, and patient cohorts.</w:t>
      </w:r>
    </w:p>
    <w:p w:rsidR="00000000" w:rsidDel="00000000" w:rsidP="00000000" w:rsidRDefault="00000000" w:rsidRPr="00000000" w14:paraId="000001FB">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Evaluating whether the query requests information regarding an unapproved indication, off-label patient sub-population, or unapproved dosage regimen.</w:t>
      </w:r>
    </w:p>
    <w:p w:rsidR="00000000" w:rsidDel="00000000" w:rsidP="00000000" w:rsidRDefault="00000000" w:rsidRPr="00000000" w14:paraId="000001FC">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an off-label request is initiated by a commercial user, intercepting the generative workflow and presenting an automated Medical Information Request (MIR) conversion form to route the unsolicited query to Medical Affairs.</w:t>
      </w:r>
    </w:p>
    <w:p w:rsidR="00000000" w:rsidDel="00000000" w:rsidP="00000000" w:rsidRDefault="00000000" w:rsidRPr="00000000" w14:paraId="000001FD">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 approved on-label commercial queries, dispatching sub-tasks to a Structured Analytics Agent for claims metrics and an Unstructured Regulatory Agent for package insert evidence.</w:t>
      </w:r>
    </w:p>
    <w:p w:rsidR="00000000" w:rsidDel="00000000" w:rsidP="00000000" w:rsidRDefault="00000000" w:rsidRPr="00000000" w14:paraId="000001FE">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Evaluating the generated answer draft using a Token-Level Compliance Engine that calculates an FDA Fair Balance score and verifies that all asserted clinical claims are entailed by the product's approved FDA package insert.</w:t>
      </w:r>
    </w:p>
    <w:p w:rsidR="00000000" w:rsidDel="00000000" w:rsidP="00000000" w:rsidRDefault="00000000" w:rsidRPr="00000000" w14:paraId="000001FF">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Delivering the verified, compliant response with inline regulatory citations, or suppressing the output if compliance conditions are not met.</w:t>
      </w:r>
    </w:p>
    <w:p w:rsidR="00000000" w:rsidDel="00000000" w:rsidP="00000000" w:rsidRDefault="00000000" w:rsidRPr="00000000" w14:paraId="00000200">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Defensible Patent Claims</w:t>
      </w:r>
    </w:p>
    <w:p w:rsidR="00000000" w:rsidDel="00000000" w:rsidP="00000000" w:rsidRDefault="00000000" w:rsidRPr="00000000" w14:paraId="00000201">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Claim 1</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method for real-time compliance governance and automated firewall enforcement in a life sciences generative multi-agent platform, comprising:</w:t>
      </w:r>
    </w:p>
    <w:p w:rsidR="00000000" w:rsidDel="00000000" w:rsidP="00000000" w:rsidRDefault="00000000" w:rsidRPr="00000000" w14:paraId="00000203">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Ingesting, by a supervisor agent, a natural-language query from a user interface together with an organizational role credential;</w:t>
      </w:r>
    </w:p>
    <w:p w:rsidR="00000000" w:rsidDel="00000000" w:rsidP="00000000" w:rsidRDefault="00000000" w:rsidRPr="00000000" w14:paraId="00000204">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Parsing said query to detect mentions of therapeutic entities, clinical indications, and comparative superiority claims;</w:t>
      </w:r>
    </w:p>
    <w:p w:rsidR="00000000" w:rsidDel="00000000" w:rsidP="00000000" w:rsidRDefault="00000000" w:rsidRPr="00000000" w14:paraId="00000205">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Evaluating, via a compliance classifier, whether the query involves an off-label use or unapproved clinical indication for the detected therapeutic entity;</w:t>
      </w:r>
    </w:p>
    <w:p w:rsidR="00000000" w:rsidDel="00000000" w:rsidP="00000000" w:rsidRDefault="00000000" w:rsidRPr="00000000" w14:paraId="00000206">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Intercepting execution and blocking generative promotional response assembly when said organizational role credential corresponds to a commercial sales role and said query involves an off-label use;</w:t>
      </w:r>
    </w:p>
    <w:p w:rsidR="00000000" w:rsidDel="00000000" w:rsidP="00000000" w:rsidRDefault="00000000" w:rsidRPr="00000000" w14:paraId="00000207">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Routing said off-label query to an unsolicited medical information intake queue configured exclusively for non-promotional medical affairs personnel;</w:t>
      </w:r>
    </w:p>
    <w:p w:rsidR="00000000" w:rsidDel="00000000" w:rsidP="00000000" w:rsidRDefault="00000000" w:rsidRPr="00000000" w14:paraId="00000208">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Generating, for compliant on-label queries, a synthesis draft comprising clinical evidence retrieved from approved regulatory product labeling;</w:t>
      </w:r>
    </w:p>
    <w:p w:rsidR="00000000" w:rsidDel="00000000" w:rsidP="00000000" w:rsidRDefault="00000000" w:rsidRPr="00000000" w14:paraId="00000209">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Validating, via a token-level compliance verification engine, that clinical efficacy claims within said synthesis draft are paired with corresponding risk and safety disclosures; and</w:t>
      </w:r>
    </w:p>
    <w:p w:rsidR="00000000" w:rsidDel="00000000" w:rsidP="00000000" w:rsidRDefault="00000000" w:rsidRPr="00000000" w14:paraId="0000020A">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Emitting the validated synthesis draft to the user interface with inline regulatory provenance citations.</w:t>
      </w:r>
    </w:p>
    <w:p w:rsidR="00000000" w:rsidDel="00000000" w:rsidP="00000000" w:rsidRDefault="00000000" w:rsidRPr="00000000" w14:paraId="0000020B">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2</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 of claim 1, wherein validating that clinical efficacy claims are paired with corresponding risk and safety disclosures comprises computing an automated Fair Balance metric evaluating the visual prominence, narrative proximity, and semantic parity of adverse event frequencies relative to asserted clinical response rates.</w:t>
      </w:r>
    </w:p>
    <w:p w:rsidR="00000000" w:rsidDel="00000000" w:rsidP="00000000" w:rsidRDefault="00000000" w:rsidRPr="00000000" w14:paraId="0000020D">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3</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 of claim 1, wherein routing said off-label query comprises generating a cryptographic audit log record compliant with 21 CFR Part 11, documenting the timestamp, user credential, literal query string, and an electronic attestation that the query was initiated spontaneously and without commercial solicitation.</w:t>
      </w:r>
    </w:p>
    <w:p w:rsidR="00000000" w:rsidDel="00000000" w:rsidP="00000000" w:rsidRDefault="00000000" w:rsidRPr="00000000" w14:paraId="0000020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Invention Disclosure 4: Distributed Provenance-Preserving Graph-RAG Retrieval Architecture for Regulatory Product Labeling and Clinical Evidence</w:t>
      </w:r>
    </w:p>
    <w:p w:rsidR="00000000" w:rsidDel="00000000" w:rsidP="00000000" w:rsidRDefault="00000000" w:rsidRPr="00000000" w14:paraId="00000210">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Field &amp; Specific Architectural Deficiency Solved</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invention relates to retrieval-augmented generation (RAG) and knowledge graph search. Prior clinical RAG systems rely solely on vector cosine similarity, which frequently retrieves fragmented text passages that lack global corpus context, break tabular structures in clinical trial reports, and fail to provide inspectable provenance to verify cited claims.</w:t>
      </w:r>
    </w:p>
    <w:p w:rsidR="00000000" w:rsidDel="00000000" w:rsidP="00000000" w:rsidRDefault="00000000" w:rsidRPr="00000000" w14:paraId="00000212">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Technical Method &amp; System Architecture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provenance-preserving Graph-RAG pipeline executes through the following method steps:</w:t>
      </w:r>
    </w:p>
    <w:p w:rsidR="00000000" w:rsidDel="00000000" w:rsidP="00000000" w:rsidRDefault="00000000" w:rsidRPr="00000000" w14:paraId="00000214">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Ingesting full-text clinical trial study reports, regulatory approval dossiers (FDA Multi-Discipline Reviews), and Structured Product Labeling (SPL) XML files.</w:t>
      </w:r>
    </w:p>
    <w:p w:rsidR="00000000" w:rsidDel="00000000" w:rsidP="00000000" w:rsidRDefault="00000000" w:rsidRPr="00000000" w14:paraId="00000215">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Parsing documents into hierarchical semantic entities, preserving the structural relationships between text sections, embedded tables, and statistical data cells.</w:t>
      </w:r>
    </w:p>
    <w:p w:rsidR="00000000" w:rsidDel="00000000" w:rsidP="00000000" w:rsidRDefault="00000000" w:rsidRPr="00000000" w14:paraId="00000216">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Constructing a hierarchical knowledge graph wherein nodes represent clinical trials, active ingredients, study arms, trial endpoints, and adverse events, linked to explicit source document coordinates.</w:t>
      </w:r>
    </w:p>
    <w:p w:rsidR="00000000" w:rsidDel="00000000" w:rsidP="00000000" w:rsidRDefault="00000000" w:rsidRPr="00000000" w14:paraId="00000217">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Executing hierarchical community clustering on the graph using the Leiden algorithm to generate multi-scale community summaries.</w:t>
      </w:r>
    </w:p>
    <w:p w:rsidR="00000000" w:rsidDel="00000000" w:rsidP="00000000" w:rsidRDefault="00000000" w:rsidRPr="00000000" w14:paraId="00000218">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At query time, executing a dual retrieval strategy:</w:t>
      </w:r>
    </w:p>
    <w:p w:rsidR="00000000" w:rsidDel="00000000" w:rsidP="00000000" w:rsidRDefault="00000000" w:rsidRPr="00000000" w14:paraId="00000219">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Global Synthesis Tier: Querying multi-scale community summaries to extract high-level comparative safety and efficacy themes across multiple studies.</w:t>
      </w:r>
    </w:p>
    <w:p w:rsidR="00000000" w:rsidDel="00000000" w:rsidP="00000000" w:rsidRDefault="00000000" w:rsidRPr="00000000" w14:paraId="0000021A">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Local Extraction Tier: Executing hybrid sparse (BM25) and dense (MedCPT) retrieval to isolate exact text paragraphs and numerical table cells.</w:t>
      </w:r>
    </w:p>
    <w:p w:rsidR="00000000" w:rsidDel="00000000" w:rsidP="00000000" w:rsidRDefault="00000000" w:rsidRPr="00000000" w14:paraId="0000021B">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Fusing global summaries with local evidence chunks using a reciprocal rank fusion algorithm.</w:t>
      </w:r>
    </w:p>
    <w:p w:rsidR="00000000" w:rsidDel="00000000" w:rsidP="00000000" w:rsidRDefault="00000000" w:rsidRPr="00000000" w14:paraId="0000021C">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Generating an explainable response wherein every asserted metric, endpoint, and safety frequency carries a deterministic provenance metadata tag pointing to the exact document set ID, section number, table row, and column coordinates.</w:t>
      </w:r>
    </w:p>
    <w:p w:rsidR="00000000" w:rsidDel="00000000" w:rsidP="00000000" w:rsidRDefault="00000000" w:rsidRPr="00000000" w14:paraId="0000021D">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Defensible Patent Claims</w:t>
      </w:r>
    </w:p>
    <w:p w:rsidR="00000000" w:rsidDel="00000000" w:rsidP="00000000" w:rsidRDefault="00000000" w:rsidRPr="00000000" w14:paraId="0000021E">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Claim 1</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retrieval-augmented generation system for structured regulatory synthesis and clinical evidence retrieval, comprising:</w:t>
      </w:r>
    </w:p>
    <w:p w:rsidR="00000000" w:rsidDel="00000000" w:rsidP="00000000" w:rsidRDefault="00000000" w:rsidRPr="00000000" w14:paraId="00000220">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document ingestion processor configured to ingest structured regulatory product labels and clinical trial dossiers, extracting hierarchical text sections and coordinate-bound data tables;</w:t>
      </w:r>
    </w:p>
    <w:p w:rsidR="00000000" w:rsidDel="00000000" w:rsidP="00000000" w:rsidRDefault="00000000" w:rsidRPr="00000000" w14:paraId="00000221">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knowledge graph construction engine configured to build a multi-relational graph comprising active ingredient nodes, clinical trial nodes, patient population nodes, and endpoint measurement nodes;</w:t>
      </w:r>
    </w:p>
    <w:p w:rsidR="00000000" w:rsidDel="00000000" w:rsidP="00000000" w:rsidRDefault="00000000" w:rsidRPr="00000000" w14:paraId="00000222">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community clustering module configured to generate hierarchical community summaries across said knowledge graph at multiple semantic scales;</w:t>
      </w:r>
    </w:p>
    <w:p w:rsidR="00000000" w:rsidDel="00000000" w:rsidP="00000000" w:rsidRDefault="00000000" w:rsidRPr="00000000" w14:paraId="00000223">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dual-tier retrieval engine configured to process a clinical inquiry by combining a global map-reduce search across said hierarchical community summaries with a local hybrid dense-sparse vector search over raw document chunks;</w:t>
      </w:r>
    </w:p>
    <w:p w:rsidR="00000000" w:rsidDel="00000000" w:rsidP="00000000" w:rsidRDefault="00000000" w:rsidRPr="00000000" w14:paraId="00000224">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 answer generation module configured to synthesize an evidence narrative from the retrieved summaries and document chunks; and</w:t>
      </w:r>
    </w:p>
    <w:p w:rsidR="00000000" w:rsidDel="00000000" w:rsidP="00000000" w:rsidRDefault="00000000" w:rsidRPr="00000000" w14:paraId="00000225">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provenance attribution engine configured to append a deterministic coordinate pointer to each asserted clinical metric in the narrative, said pointer linking the metric to an exact document ID, section identifier, and table cell coordinate.</w:t>
      </w:r>
    </w:p>
    <w:p w:rsidR="00000000" w:rsidDel="00000000" w:rsidP="00000000" w:rsidRDefault="00000000" w:rsidRPr="00000000" w14:paraId="00000226">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2</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of claim 1, wherein the local hybrid dense-sparse vector search comprises computing a weighted reciprocal rank fusion score between an exact-match BM25 sparse index and a contrastively trained biomedical dual-encoder dense vector index.</w:t>
      </w:r>
    </w:p>
    <w:p w:rsidR="00000000" w:rsidDel="00000000" w:rsidP="00000000" w:rsidRDefault="00000000" w:rsidRPr="00000000" w14:paraId="00000228">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3</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of claim 1, wherein the answer generation module incorporates a self-reflective generation circuit that evaluates an entailment score between each asserted claim and the text associated with the linked deterministic coordinate pointer, suppressing any claim whose entailment score falls below a predetermined confidence threshold.</w:t>
      </w:r>
    </w:p>
    <w:p w:rsidR="00000000" w:rsidDel="00000000" w:rsidP="00000000" w:rsidRDefault="00000000" w:rsidRPr="00000000" w14:paraId="0000022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Invention Disclosure 5: Dynamic Cohort Suppression and Differential Privacy Preservation Engine for Granular Commercial Healthcare Dashboards</w:t>
      </w:r>
    </w:p>
    <w:p w:rsidR="00000000" w:rsidDel="00000000" w:rsidP="00000000" w:rsidRDefault="00000000" w:rsidRPr="00000000" w14:paraId="0000022B">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Field &amp; Specific Architectural Deficiency Solved</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invention relates to privacy-preserving data analytics and automated de-identification. Existing commercial pharmaceutical dashboards utilize static cell suppression or coarse geographic masking, which either leaks sensitive patient health information through secondary algebraic reconstruction or over-suppresses data, rendering regional sales insights useless for operational planning.</w:t>
      </w:r>
    </w:p>
    <w:p w:rsidR="00000000" w:rsidDel="00000000" w:rsidP="00000000" w:rsidRDefault="00000000" w:rsidRPr="00000000" w14:paraId="0000022D">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Technical Method &amp; System Architecture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privacy preservation engine operates through the following method steps:</w:t>
      </w:r>
    </w:p>
    <w:p w:rsidR="00000000" w:rsidDel="00000000" w:rsidP="00000000" w:rsidRDefault="00000000" w:rsidRPr="00000000" w14:paraId="0000022F">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Ingesting real-world patient claims and prescription records partitioned by geographical territory and organizational hierarchy.</w:t>
      </w:r>
    </w:p>
    <w:p w:rsidR="00000000" w:rsidDel="00000000" w:rsidP="00000000" w:rsidRDefault="00000000" w:rsidRPr="00000000" w14:paraId="00000230">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Intercepting analytical aggregation queries dispatched by an enterprise reporting copilot or dashboard visualization layer.</w:t>
      </w:r>
    </w:p>
    <w:p w:rsidR="00000000" w:rsidDel="00000000" w:rsidP="00000000" w:rsidRDefault="00000000" w:rsidRPr="00000000" w14:paraId="00000231">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Calculating the raw aggregate count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33" name="image28.png"/>
            <a:graphic>
              <a:graphicData uri="http://schemas.openxmlformats.org/drawingml/2006/picture">
                <pic:pic>
                  <pic:nvPicPr>
                    <pic:cNvPr id="0" name="image28.png"/>
                    <pic:cNvPicPr preferRelativeResize="0"/>
                  </pic:nvPicPr>
                  <pic:blipFill>
                    <a:blip r:embed="rId127"/>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unique patients matching the query criteria within a specific reporting cell.</w:t>
      </w:r>
    </w:p>
    <w:p w:rsidR="00000000" w:rsidDel="00000000" w:rsidP="00000000" w:rsidRDefault="00000000" w:rsidRPr="00000000" w14:paraId="00000232">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Evaluating whether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31" name="image28.png"/>
            <a:graphic>
              <a:graphicData uri="http://schemas.openxmlformats.org/drawingml/2006/picture">
                <pic:pic>
                  <pic:nvPicPr>
                    <pic:cNvPr id="0" name="image28.png"/>
                    <pic:cNvPicPr preferRelativeResize="0"/>
                  </pic:nvPicPr>
                  <pic:blipFill>
                    <a:blip r:embed="rId127"/>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violates a primary suppression threshold (</w:t>
      </w:r>
      <w:r w:rsidDel="00000000" w:rsidR="00000000" w:rsidRPr="00000000">
        <w:rPr>
          <w:rFonts w:ascii="Google Sans" w:cs="Google Sans" w:eastAsia="Google Sans" w:hAnsi="Google Sans"/>
          <w:color w:val="1f1f1f"/>
        </w:rPr>
        <w:drawing>
          <wp:inline distB="19050" distT="19050" distL="19050" distR="19050">
            <wp:extent cx="934283" cy="245058"/>
            <wp:effectExtent b="0" l="0" r="0" t="0"/>
            <wp:docPr id="37" name="image20.png"/>
            <a:graphic>
              <a:graphicData uri="http://schemas.openxmlformats.org/drawingml/2006/picture">
                <pic:pic>
                  <pic:nvPicPr>
                    <pic:cNvPr id="0" name="image20.png"/>
                    <pic:cNvPicPr preferRelativeResize="0"/>
                  </pic:nvPicPr>
                  <pic:blipFill>
                    <a:blip r:embed="rId128"/>
                    <a:srcRect b="0" l="0" r="0" t="0"/>
                    <a:stretch>
                      <a:fillRect/>
                    </a:stretch>
                  </pic:blipFill>
                  <pic:spPr>
                    <a:xfrm>
                      <a:off x="0" y="0"/>
                      <a:ext cx="934283" cy="2450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violated, replacing the reported value with a suppression indicator token ("&lt; 11").</w:t>
      </w:r>
    </w:p>
    <w:p w:rsidR="00000000" w:rsidDel="00000000" w:rsidP="00000000" w:rsidRDefault="00000000" w:rsidRPr="00000000" w14:paraId="00000233">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Executing an automated complementary (secondary) suppression analysis across the reporting table:</w:t>
      </w:r>
    </w:p>
    <w:p w:rsidR="00000000" w:rsidDel="00000000" w:rsidP="00000000" w:rsidRDefault="00000000" w:rsidRPr="00000000" w14:paraId="00000234">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Constructing a linear system of equations representing the marginal row totals, column totals, and internal table cells.</w:t>
      </w:r>
    </w:p>
    <w:p w:rsidR="00000000" w:rsidDel="00000000" w:rsidP="00000000" w:rsidRDefault="00000000" w:rsidRPr="00000000" w14:paraId="00000235">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Evaluating whether the value of any primary suppressed cell can be solved or bounded within an interval of width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35" name="image64.png"/>
            <a:graphic>
              <a:graphicData uri="http://schemas.openxmlformats.org/drawingml/2006/picture">
                <pic:pic>
                  <pic:nvPicPr>
                    <pic:cNvPr id="0" name="image64.png"/>
                    <pic:cNvPicPr preferRelativeResize="0"/>
                  </pic:nvPicPr>
                  <pic:blipFill>
                    <a:blip r:embed="rId129"/>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linear programming techniques.</w:t>
      </w:r>
    </w:p>
    <w:p w:rsidR="00000000" w:rsidDel="00000000" w:rsidP="00000000" w:rsidRDefault="00000000" w:rsidRPr="00000000" w14:paraId="00000236">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If an adversarial reconstruction is possible, iteratively selecting and suppressing the next smallest unsuppressed cell until all possible algebraic reconstructions are eliminated.</w:t>
      </w:r>
    </w:p>
    <w:p w:rsidR="00000000" w:rsidDel="00000000" w:rsidP="00000000" w:rsidRDefault="00000000" w:rsidRPr="00000000" w14:paraId="00000237">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 synthetic cohort exports or external integrations, injecting calibrated Laplace or Gaussian noise to satisfy </w:t>
      </w:r>
      <w:r w:rsidDel="00000000" w:rsidR="00000000" w:rsidRPr="00000000">
        <w:rPr>
          <w:rFonts w:ascii="Google Sans" w:cs="Google Sans" w:eastAsia="Google Sans" w:hAnsi="Google Sans"/>
          <w:color w:val="1f1f1f"/>
        </w:rPr>
        <w:drawing>
          <wp:inline distB="19050" distT="19050" distL="19050" distR="19050">
            <wp:extent cx="413861" cy="249878"/>
            <wp:effectExtent b="0" l="0" r="0" t="0"/>
            <wp:docPr id="25" name="image73.png"/>
            <a:graphic>
              <a:graphicData uri="http://schemas.openxmlformats.org/drawingml/2006/picture">
                <pic:pic>
                  <pic:nvPicPr>
                    <pic:cNvPr id="0" name="image73.png"/>
                    <pic:cNvPicPr preferRelativeResize="0"/>
                  </pic:nvPicPr>
                  <pic:blipFill>
                    <a:blip r:embed="rId121"/>
                    <a:srcRect b="0" l="0" r="0" t="0"/>
                    <a:stretch>
                      <a:fillRect/>
                    </a:stretch>
                  </pic:blipFill>
                  <pic:spPr>
                    <a:xfrm>
                      <a:off x="0" y="0"/>
                      <a:ext cx="413861" cy="2498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-Differential Privacy bounds, where </w:t>
      </w:r>
      <w:r w:rsidDel="00000000" w:rsidR="00000000" w:rsidRPr="00000000">
        <w:rPr>
          <w:rFonts w:ascii="Google Sans" w:cs="Google Sans" w:eastAsia="Google Sans" w:hAnsi="Google Sans"/>
          <w:color w:val="1f1f1f"/>
        </w:rPr>
        <w:drawing>
          <wp:inline distB="19050" distT="19050" distL="19050" distR="19050">
            <wp:extent cx="591383" cy="245770"/>
            <wp:effectExtent b="0" l="0" r="0" t="0"/>
            <wp:docPr id="2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1383" cy="245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36759" cy="245586"/>
            <wp:effectExtent b="0" l="0" r="0" t="0"/>
            <wp:docPr id="29"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736759" cy="245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8">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Delivering the privacy-preserved, non-reconstructible aggregate data table to the enterprise visualization interface.</w:t>
      </w:r>
    </w:p>
    <w:p w:rsidR="00000000" w:rsidDel="00000000" w:rsidP="00000000" w:rsidRDefault="00000000" w:rsidRPr="00000000" w14:paraId="00000239">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Defensible Patent Claims</w:t>
      </w:r>
    </w:p>
    <w:p w:rsidR="00000000" w:rsidDel="00000000" w:rsidP="00000000" w:rsidRDefault="00000000" w:rsidRPr="00000000" w14:paraId="0000023A">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Claim 1</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computer-implemented method for dynamic privacy preservation and algebraic reconstruction prevention in commercial healthcare analytics dashboards, comprising:</w:t>
      </w:r>
    </w:p>
    <w:p w:rsidR="00000000" w:rsidDel="00000000" w:rsidP="00000000" w:rsidRDefault="00000000" w:rsidRPr="00000000" w14:paraId="0000023C">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Intercepting an analytical query requesting aggregated patient cohort counts across a specified geographic territory or provider group;</w:t>
      </w:r>
    </w:p>
    <w:p w:rsidR="00000000" w:rsidDel="00000000" w:rsidP="00000000" w:rsidRDefault="00000000" w:rsidRPr="00000000" w14:paraId="0000023D">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Executing the query against a secure columnar healthcare data warehouse to calculate raw aggregate patient values for each cell in an analytical reporting matrix;</w:t>
      </w:r>
    </w:p>
    <w:p w:rsidR="00000000" w:rsidDel="00000000" w:rsidP="00000000" w:rsidRDefault="00000000" w:rsidRPr="00000000" w14:paraId="0000023E">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Applying primary cell suppression to replace any non-zero patient count falling below a predetermined threshold with a suppression indicator token;</w:t>
      </w:r>
    </w:p>
    <w:p w:rsidR="00000000" w:rsidDel="00000000" w:rsidP="00000000" w:rsidRDefault="00000000" w:rsidRPr="00000000" w14:paraId="0000023F">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Formulating a linear constraint system representing all row sums, column sums, and unsuppressed cells of said reporting matrix;</w:t>
      </w:r>
    </w:p>
    <w:p w:rsidR="00000000" w:rsidDel="00000000" w:rsidP="00000000" w:rsidRDefault="00000000" w:rsidRPr="00000000" w14:paraId="00000240">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Evaluating, via a linear solver, whether any primary suppressed cell can be derived within a bounded interval from said linear constraint system;</w:t>
      </w:r>
    </w:p>
    <w:p w:rsidR="00000000" w:rsidDel="00000000" w:rsidP="00000000" w:rsidRDefault="00000000" w:rsidRPr="00000000" w14:paraId="00000241">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Applying secondary cell suppression to iteratively mask one or more additional cells in the matrix until no primary suppressed cell can be reconstructed within said bounded interval; and</w:t>
      </w:r>
    </w:p>
    <w:p w:rsidR="00000000" w:rsidDel="00000000" w:rsidP="00000000" w:rsidRDefault="00000000" w:rsidRPr="00000000" w14:paraId="00000242">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Transmitting the resulting double-suppressed reporting matrix to a client application for visualization.</w:t>
      </w:r>
    </w:p>
    <w:p w:rsidR="00000000" w:rsidDel="00000000" w:rsidP="00000000" w:rsidRDefault="00000000" w:rsidRPr="00000000" w14:paraId="00000243">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2</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 of claim 1, wherein the predetermined threshold for primary cell suppression is exactly eleven individuals, such that any cell with an individual count from one to ten inclusive is suppressed, while cells with a count of zero are displayed.</w:t>
      </w:r>
    </w:p>
    <w:p w:rsidR="00000000" w:rsidDel="00000000" w:rsidP="00000000" w:rsidRDefault="00000000" w:rsidRPr="00000000" w14:paraId="00000245">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Claim 3</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 of claim 1, further comprising applying a differential privacy mechanism to cell metrics that aggregates continuous financial or prescription volume data by adding zero-mean noise scaled to the global sensitivity of the query and a privacy loss budget </w:t>
      </w:r>
      <w:r w:rsidDel="00000000" w:rsidR="00000000" w:rsidRPr="00000000">
        <w:rPr>
          <w:rFonts w:ascii="Google Sans" w:cs="Google Sans" w:eastAsia="Google Sans" w:hAnsi="Google Sans"/>
          <w:color w:val="1f1f1f"/>
        </w:rPr>
        <w:drawing>
          <wp:inline distB="19050" distT="19050" distL="19050" distR="19050">
            <wp:extent cx="591383" cy="245770"/>
            <wp:effectExtent b="0" l="0" r="0" t="0"/>
            <wp:docPr id="27"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1383" cy="245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Implementations, Schemas, and Orchestration Scripts</w:t>
      </w:r>
    </w:p>
    <w:p w:rsidR="00000000" w:rsidDel="00000000" w:rsidP="00000000" w:rsidRDefault="00000000" w:rsidRPr="00000000" w14:paraId="000002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Multi-Agent Execution Graph</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production-grade Python script below implements the core multi-agent execution loop using an enterprise LangGraph architecture. It coordinates query validation, structured database querying, regulatory knowledge-base retrieval, and real-time OPDP compliance evaluation:</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logging</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Dict, Any, List, TypedDict, Literal</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dataclasses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dataclass</w:t>
        <w:br w:type="textWrapping"/>
        <w:br w:type="textWrapping"/>
        <w:t xml:space="preserve">logging.basicConfig(level=logging.INFO)</w:t>
        <w:br w:type="textWrapping"/>
        <w:t xml:space="preserve">logger = logging.getLogger(</w:t>
      </w:r>
      <w:r w:rsidDel="00000000" w:rsidR="00000000" w:rsidRPr="00000000">
        <w:rPr>
          <w:rFonts w:ascii="Google Sans" w:cs="Google Sans" w:eastAsia="Google Sans" w:hAnsi="Google Sans"/>
          <w:i w:val="0"/>
          <w:iCs w:val="0"/>
          <w:color w:val="60d673"/>
          <w:sz w:val="20"/>
          <w:szCs w:val="20"/>
          <w:shd w:fill="141414" w:val="clear"/>
          <w:rtl w:val="0"/>
        </w:rPr>
        <w:t xml:space="preserve">"EnterpriseCopilotOrchestrator"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Agent State Schema Definition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AgentState(TypedDict):</w:t>
      </w:r>
      <w:r w:rsidDel="00000000" w:rsidR="00000000" w:rsidRPr="00000000">
        <w:rPr>
          <w:rFonts w:ascii="Google Sans" w:cs="Google Sans" w:eastAsia="Google Sans" w:hAnsi="Google Sans"/>
          <w:color w:val="1f1f1f"/>
          <w:shd w:fill="141414" w:val="clear"/>
          <w:rtl w:val="0"/>
        </w:rPr>
        <w:br w:type="textWrapping"/>
        <w:t xml:space="preserve">    query: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user_role: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user_territory: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is_off_label: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br w:type="textWrapping"/>
        <w:t xml:space="preserve">    requires_mir: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br w:type="textWrapping"/>
        <w:t xml:space="preserve">    structured_sql: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sql_results: List[Dict[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Any]]</w:t>
        <w:br w:type="textWrapping"/>
        <w:t xml:space="preserve">    regulatory_context: List[Dict[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Any]]</w:t>
        <w:br w:type="textWrapping"/>
        <w:t xml:space="preserve">    compliance_passed: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br w:type="textWrapping"/>
        <w:t xml:space="preserve">    draft_response: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final_output: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provenance_trace: List[Dict[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Any]]</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Mock Database &amp; Regulatory Knowledge Interfaces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MockEnterpriseDataWarehouse: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    @staticmethod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execute_query</w:t>
      </w:r>
      <w:r w:rsidDel="00000000" w:rsidR="00000000" w:rsidRPr="00000000">
        <w:rPr>
          <w:rFonts w:ascii="Google Sans" w:cs="Google Sans" w:eastAsia="Google Sans" w:hAnsi="Google Sans"/>
          <w:i w:val="0"/>
          <w:iCs w:val="0"/>
          <w:color w:val="ffffff"/>
          <w:sz w:val="20"/>
          <w:szCs w:val="20"/>
          <w:shd w:fill="141414" w:val="clear"/>
          <w:rtl w:val="0"/>
        </w:rPr>
        <w:t xml:space="preserve">(sql: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territory_id: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List[Dict[str, Any]]:</w:t>
      </w:r>
      <w:r w:rsidDel="00000000" w:rsidR="00000000" w:rsidRPr="00000000">
        <w:rPr>
          <w:rFonts w:ascii="Google Sans" w:cs="Google Sans" w:eastAsia="Google Sans" w:hAnsi="Google Sans"/>
          <w:color w:val="1f1f1f"/>
          <w:shd w:fill="141414" w:val="clear"/>
          <w:rtl w:val="0"/>
        </w:rPr>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f"Executing secure query for territory: {territory_id}"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"prescriber_npi"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"1982736450"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"hcp_name"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 Sarah Jenkins"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"eligible_uncontrolled_patients"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"prescriber_npi"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"1205948372"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"hcp_name"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 Robert Chen"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"eligible_uncontrolled_patients"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MockKnowledgeGraphRetriever: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    @staticmethod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retrieve_spl_and_trials</w:t>
      </w:r>
      <w:r w:rsidDel="00000000" w:rsidR="00000000" w:rsidRPr="00000000">
        <w:rPr>
          <w:rFonts w:ascii="Google Sans" w:cs="Google Sans" w:eastAsia="Google Sans" w:hAnsi="Google Sans"/>
          <w:i w:val="0"/>
          <w:iCs w:val="0"/>
          <w:color w:val="ffffff"/>
          <w:sz w:val="20"/>
          <w:szCs w:val="20"/>
          <w:shd w:fill="141414" w:val="clear"/>
          <w:rtl w:val="0"/>
        </w:rPr>
        <w:t xml:space="preserve">(drug_name: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indication: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List[Dict[str, Any]]: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"spl_set_id"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"b18274a1-094e-4f28-b80c-e2f75a643801"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"14_ClinicalStudies"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"trial_id"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"NCT03732820"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"table_ref"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"Table_2"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"At Week 16, 82% of patients treated with IL-23 biologic achieved PASI 90 compared to 60% with active comparator (p &lt; 0.001)."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"safety_disclosure"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"Nasopharyngitis occurred in 5.6% of patients; serious infections occurred in 0.3%."</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Multi-Agent Node Implementations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supervisor_agent_node</w:t>
      </w:r>
      <w:r w:rsidDel="00000000" w:rsidR="00000000" w:rsidRPr="00000000">
        <w:rPr>
          <w:rFonts w:ascii="Google Sans" w:cs="Google Sans" w:eastAsia="Google Sans" w:hAnsi="Google Sans"/>
          <w:i w:val="0"/>
          <w:iCs w:val="0"/>
          <w:color w:val="ffffff"/>
          <w:sz w:val="20"/>
          <w:szCs w:val="20"/>
          <w:shd w:fill="141414" w:val="clear"/>
          <w:rtl w:val="0"/>
        </w:rPr>
        <w:t xml:space="preserve">(state: AgentState) -&gt; AgentState:</w:t>
      </w:r>
      <w:r w:rsidDel="00000000" w:rsidR="00000000" w:rsidRPr="00000000">
        <w:rPr>
          <w:rFonts w:ascii="Google Sans" w:cs="Google Sans" w:eastAsia="Google Sans" w:hAnsi="Google Sans"/>
          <w:color w:val="1f1f1f"/>
          <w:shd w:fill="141414" w:val="clear"/>
          <w:rtl w:val="0"/>
        </w:rPr>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"Supervisor Agent: Classifying intent and evaluating role permissions."</w:t>
      </w:r>
      <w:r w:rsidDel="00000000" w:rsidR="00000000" w:rsidRPr="00000000">
        <w:rPr>
          <w:rFonts w:ascii="Google Sans" w:cs="Google Sans" w:eastAsia="Google Sans" w:hAnsi="Google Sans"/>
          <w:color w:val="1f1f1f"/>
          <w:shd w:fill="141414" w:val="clear"/>
          <w:rtl w:val="0"/>
        </w:rPr>
        <w:t xml:space="preserve">)</w:t>
        <w:br w:type="textWrapping"/>
        <w:t xml:space="preserve">    query_lower = state[</w:t>
      </w:r>
      <w:r w:rsidDel="00000000" w:rsidR="00000000" w:rsidRPr="00000000">
        <w:rPr>
          <w:rFonts w:ascii="Google Sans" w:cs="Google Sans" w:eastAsia="Google Sans" w:hAnsi="Google Sans"/>
          <w:i w:val="0"/>
          <w:iCs w:val="0"/>
          <w:color w:val="60d673"/>
          <w:sz w:val="20"/>
          <w:szCs w:val="20"/>
          <w:shd w:fill="141414" w:val="clear"/>
          <w:rtl w:val="0"/>
        </w:rPr>
        <w:t xml:space="preserve">"query"</w:t>
      </w:r>
      <w:r w:rsidDel="00000000" w:rsidR="00000000" w:rsidRPr="00000000">
        <w:rPr>
          <w:rFonts w:ascii="Google Sans" w:cs="Google Sans" w:eastAsia="Google Sans" w:hAnsi="Google Sans"/>
          <w:color w:val="1f1f1f"/>
          <w:shd w:fill="141414" w:val="clear"/>
          <w:rtl w:val="0"/>
        </w:rPr>
        <w:t xml:space="preserve">].lower()</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Check for off-label discussion triggers</w:t>
      </w:r>
      <w:r w:rsidDel="00000000" w:rsidR="00000000" w:rsidRPr="00000000">
        <w:rPr>
          <w:rFonts w:ascii="Google Sans" w:cs="Google Sans" w:eastAsia="Google Sans" w:hAnsi="Google Sans"/>
          <w:color w:val="1f1f1f"/>
          <w:shd w:fill="141414" w:val="clear"/>
          <w:rtl w:val="0"/>
        </w:rPr>
        <w:br w:type="textWrapping"/>
        <w:t xml:space="preserve">    off_label_keywords = [</w:t>
      </w:r>
      <w:r w:rsidDel="00000000" w:rsidR="00000000" w:rsidRPr="00000000">
        <w:rPr>
          <w:rFonts w:ascii="Google Sans" w:cs="Google Sans" w:eastAsia="Google Sans" w:hAnsi="Google Sans"/>
          <w:i w:val="0"/>
          <w:iCs w:val="0"/>
          <w:color w:val="60d673"/>
          <w:sz w:val="20"/>
          <w:szCs w:val="20"/>
          <w:shd w:fill="141414" w:val="clear"/>
          <w:rtl w:val="0"/>
        </w:rPr>
        <w:t xml:space="preserve">"pediatric"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"unapproved"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"off-label"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"unlabeled use"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"rheumatoid"</w:t>
      </w:r>
      <w:r w:rsidDel="00000000" w:rsidR="00000000" w:rsidRPr="00000000">
        <w:rPr>
          <w:rFonts w:ascii="Google Sans" w:cs="Google Sans" w:eastAsia="Google Sans" w:hAnsi="Google Sans"/>
          <w:color w:val="1f1f1f"/>
          <w:shd w:fill="141414" w:val="clear"/>
          <w:rtl w:val="0"/>
        </w:rPr>
        <w:t xml:space="preserve">]</w:t>
        <w:br w:type="textWrapping"/>
        <w:t xml:space="preserve">    is_off_label =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(kw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query_lower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kw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off_label_keywords)</w:t>
        <w:br w:type="textWrapping"/>
        <w:t xml:space="preserve">    </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"is_off_label"</w:t>
      </w:r>
      <w:r w:rsidDel="00000000" w:rsidR="00000000" w:rsidRPr="00000000">
        <w:rPr>
          <w:rFonts w:ascii="Google Sans" w:cs="Google Sans" w:eastAsia="Google Sans" w:hAnsi="Google Sans"/>
          <w:color w:val="1f1f1f"/>
          <w:shd w:fill="141414" w:val="clear"/>
          <w:rtl w:val="0"/>
        </w:rPr>
        <w:t xml:space="preserve">] = is_off_label</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is_off_label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"user_role"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"Field_Rep"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"Territory_Manager"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"AGM"</w:t>
      </w:r>
      <w:r w:rsidDel="00000000" w:rsidR="00000000" w:rsidRPr="00000000">
        <w:rPr>
          <w:rFonts w:ascii="Google Sans" w:cs="Google Sans" w:eastAsia="Google Sans" w:hAnsi="Google Sans"/>
          <w:color w:val="1f1f1f"/>
          <w:shd w:fill="141414" w:val="clear"/>
          <w:rtl w:val="0"/>
        </w:rPr>
        <w:t xml:space="preserve">]:</w:t>
        <w:br w:type="textWrapping"/>
        <w:t xml:space="preserve">        logger.warning(</w:t>
      </w:r>
      <w:r w:rsidDel="00000000" w:rsidR="00000000" w:rsidRPr="00000000">
        <w:rPr>
          <w:rFonts w:ascii="Google Sans" w:cs="Google Sans" w:eastAsia="Google Sans" w:hAnsi="Google Sans"/>
          <w:i w:val="0"/>
          <w:iCs w:val="0"/>
          <w:color w:val="60d673"/>
          <w:sz w:val="20"/>
          <w:szCs w:val="20"/>
          <w:shd w:fill="141414" w:val="clear"/>
          <w:rtl w:val="0"/>
        </w:rPr>
        <w:t xml:space="preserve">"Supervisor: Off-label query intercepted for commercial user."</w:t>
      </w:r>
      <w:r w:rsidDel="00000000" w:rsidR="00000000" w:rsidRPr="00000000">
        <w:rPr>
          <w:rFonts w:ascii="Google Sans" w:cs="Google Sans" w:eastAsia="Google Sans" w:hAnsi="Google Sans"/>
          <w:color w:val="1f1f1f"/>
          <w:shd w:fill="141414" w:val="clear"/>
          <w:rtl w:val="0"/>
        </w:rPr>
        <w:t xml:space="preserve">)</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"requires_mir"</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"requires_mir"</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structured_analytics_agent_node</w:t>
      </w:r>
      <w:r w:rsidDel="00000000" w:rsidR="00000000" w:rsidRPr="00000000">
        <w:rPr>
          <w:rFonts w:ascii="Google Sans" w:cs="Google Sans" w:eastAsia="Google Sans" w:hAnsi="Google Sans"/>
          <w:i w:val="0"/>
          <w:iCs w:val="0"/>
          <w:color w:val="ffffff"/>
          <w:sz w:val="20"/>
          <w:szCs w:val="20"/>
          <w:shd w:fill="141414" w:val="clear"/>
          <w:rtl w:val="0"/>
        </w:rPr>
        <w:t xml:space="preserve">(state: AgentState) -&gt; AgentState: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"requires_mir"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t xml:space="preserve">        </w:t>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"Structured Analytics Agent: Generating parameterized SQL."</w:t>
      </w:r>
      <w:r w:rsidDel="00000000" w:rsidR="00000000" w:rsidRPr="00000000">
        <w:rPr>
          <w:rFonts w:ascii="Google Sans" w:cs="Google Sans" w:eastAsia="Google Sans" w:hAnsi="Google Sans"/>
          <w:color w:val="1f1f1f"/>
          <w:shd w:fill="141414" w:val="clear"/>
          <w:rtl w:val="0"/>
        </w:rPr>
        <w:t xml:space="preserve">)</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"structured_sql"</w:t>
      </w:r>
      <w:r w:rsidDel="00000000" w:rsidR="00000000" w:rsidRPr="00000000">
        <w:rPr>
          <w:rFonts w:ascii="Google Sans" w:cs="Google Sans" w:eastAsia="Google Sans" w:hAnsi="Google Sans"/>
          <w:color w:val="1f1f1f"/>
          <w:shd w:fill="141414" w:val="clear"/>
          <w:rtl w:val="0"/>
        </w:rPr>
        <w:t xml:space="preserve">]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"SELECT prescriber_npi, hcp_name, COUNT(DISTINCT patient_anon_id) AS eligible_uncontrolled_patients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"FROM fact_prescription_events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"WHERE icd10_primary_diagnosis = 'L40.0'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"GROUP BY prescriber_npi, hcp_name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"HAVING COUNT(DISTINCT patient_anon_id) &gt;= 11"</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results = MockEnterpriseDataWarehouse.execute_query(state[</w:t>
      </w:r>
      <w:r w:rsidDel="00000000" w:rsidR="00000000" w:rsidRPr="00000000">
        <w:rPr>
          <w:rFonts w:ascii="Google Sans" w:cs="Google Sans" w:eastAsia="Google Sans" w:hAnsi="Google Sans"/>
          <w:i w:val="0"/>
          <w:iCs w:val="0"/>
          <w:color w:val="60d673"/>
          <w:sz w:val="20"/>
          <w:szCs w:val="20"/>
          <w:shd w:fill="141414" w:val="clear"/>
          <w:rtl w:val="0"/>
        </w:rPr>
        <w:t xml:space="preserve">"structured_sql"</w:t>
      </w:r>
      <w:r w:rsidDel="00000000" w:rsidR="00000000" w:rsidRPr="00000000">
        <w:rPr>
          <w:rFonts w:ascii="Google Sans" w:cs="Google Sans" w:eastAsia="Google Sans" w:hAnsi="Google Sans"/>
          <w:color w:val="1f1f1f"/>
          <w:shd w:fill="141414" w:val="clear"/>
          <w:rtl w:val="0"/>
        </w:rPr>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"user_territory"</w:t>
      </w:r>
      <w:r w:rsidDel="00000000" w:rsidR="00000000" w:rsidRPr="00000000">
        <w:rPr>
          <w:rFonts w:ascii="Google Sans" w:cs="Google Sans" w:eastAsia="Google Sans" w:hAnsi="Google Sans"/>
          <w:color w:val="1f1f1f"/>
          <w:shd w:fill="141414" w:val="clear"/>
          <w:rtl w:val="0"/>
        </w:rPr>
        <w:t xml:space="preserve">])</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"sql_results"</w:t>
      </w:r>
      <w:r w:rsidDel="00000000" w:rsidR="00000000" w:rsidRPr="00000000">
        <w:rPr>
          <w:rFonts w:ascii="Google Sans" w:cs="Google Sans" w:eastAsia="Google Sans" w:hAnsi="Google Sans"/>
          <w:color w:val="1f1f1f"/>
          <w:shd w:fill="141414" w:val="clear"/>
          <w:rtl w:val="0"/>
        </w:rPr>
        <w:t xml:space="preserve">] = results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unstructured_regulatory_agent_node</w:t>
      </w:r>
      <w:r w:rsidDel="00000000" w:rsidR="00000000" w:rsidRPr="00000000">
        <w:rPr>
          <w:rFonts w:ascii="Google Sans" w:cs="Google Sans" w:eastAsia="Google Sans" w:hAnsi="Google Sans"/>
          <w:i w:val="0"/>
          <w:iCs w:val="0"/>
          <w:color w:val="ffffff"/>
          <w:sz w:val="20"/>
          <w:szCs w:val="20"/>
          <w:shd w:fill="141414" w:val="clear"/>
          <w:rtl w:val="0"/>
        </w:rPr>
        <w:t xml:space="preserve">(state: AgentState) -&gt; AgentState: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"requires_mir"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t xml:space="preserve">        </w:t>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"Regulatory Agent: Retrieving approved SPL package inserts and trial endpoints."</w:t>
      </w:r>
      <w:r w:rsidDel="00000000" w:rsidR="00000000" w:rsidRPr="00000000">
        <w:rPr>
          <w:rFonts w:ascii="Google Sans" w:cs="Google Sans" w:eastAsia="Google Sans" w:hAnsi="Google Sans"/>
          <w:color w:val="1f1f1f"/>
          <w:shd w:fill="141414" w:val="clear"/>
          <w:rtl w:val="0"/>
        </w:rPr>
        <w:t xml:space="preserve">)</w:t>
        <w:br w:type="textWrapping"/>
        <w:t xml:space="preserve">    context = MockKnowledgeGraphRetriever.retrieve_spl_and_trials(</w:t>
        <w:br w:type="textWrapping"/>
        <w:t xml:space="preserve">        drug_name=</w:t>
      </w:r>
      <w:r w:rsidDel="00000000" w:rsidR="00000000" w:rsidRPr="00000000">
        <w:rPr>
          <w:rFonts w:ascii="Google Sans" w:cs="Google Sans" w:eastAsia="Google Sans" w:hAnsi="Google Sans"/>
          <w:i w:val="0"/>
          <w:iCs w:val="0"/>
          <w:color w:val="60d673"/>
          <w:sz w:val="20"/>
          <w:szCs w:val="20"/>
          <w:shd w:fill="141414" w:val="clear"/>
          <w:rtl w:val="0"/>
        </w:rPr>
        <w:t xml:space="preserve">"Target_IL23"</w:t>
      </w:r>
      <w:r w:rsidDel="00000000" w:rsidR="00000000" w:rsidRPr="00000000">
        <w:rPr>
          <w:rFonts w:ascii="Google Sans" w:cs="Google Sans" w:eastAsia="Google Sans" w:hAnsi="Google Sans"/>
          <w:color w:val="1f1f1f"/>
          <w:shd w:fill="141414" w:val="clear"/>
          <w:rtl w:val="0"/>
        </w:rPr>
        <w:t xml:space="preserve">, </w:t>
        <w:br w:type="textWrapping"/>
        <w:t xml:space="preserve">        indication=</w:t>
      </w:r>
      <w:r w:rsidDel="00000000" w:rsidR="00000000" w:rsidRPr="00000000">
        <w:rPr>
          <w:rFonts w:ascii="Google Sans" w:cs="Google Sans" w:eastAsia="Google Sans" w:hAnsi="Google Sans"/>
          <w:i w:val="0"/>
          <w:iCs w:val="0"/>
          <w:color w:val="60d673"/>
          <w:sz w:val="20"/>
          <w:szCs w:val="20"/>
          <w:shd w:fill="141414" w:val="clear"/>
          <w:rtl w:val="0"/>
        </w:rPr>
        <w:t xml:space="preserve">"Psoriasis"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"regulatory_context"</w:t>
      </w:r>
      <w:r w:rsidDel="00000000" w:rsidR="00000000" w:rsidRPr="00000000">
        <w:rPr>
          <w:rFonts w:ascii="Google Sans" w:cs="Google Sans" w:eastAsia="Google Sans" w:hAnsi="Google Sans"/>
          <w:color w:val="1f1f1f"/>
          <w:shd w:fill="141414" w:val="clear"/>
          <w:rtl w:val="0"/>
        </w:rPr>
        <w:t xml:space="preserve">] = context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promotional_governance_agent_node</w:t>
      </w:r>
      <w:r w:rsidDel="00000000" w:rsidR="00000000" w:rsidRPr="00000000">
        <w:rPr>
          <w:rFonts w:ascii="Google Sans" w:cs="Google Sans" w:eastAsia="Google Sans" w:hAnsi="Google Sans"/>
          <w:i w:val="0"/>
          <w:iCs w:val="0"/>
          <w:color w:val="ffffff"/>
          <w:sz w:val="20"/>
          <w:szCs w:val="20"/>
          <w:shd w:fill="141414" w:val="clear"/>
          <w:rtl w:val="0"/>
        </w:rPr>
        <w:t xml:space="preserve">(state: AgentState) -&gt; AgentState: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"requires_mir"</w:t>
      </w:r>
      <w:r w:rsidDel="00000000" w:rsidR="00000000" w:rsidRPr="00000000">
        <w:rPr>
          <w:rFonts w:ascii="Google Sans" w:cs="Google Sans" w:eastAsia="Google Sans" w:hAnsi="Google Sans"/>
          <w:color w:val="1f1f1f"/>
          <w:shd w:fill="141414" w:val="clear"/>
          <w:rtl w:val="0"/>
        </w:rPr>
        <w:t xml:space="preserve">]:</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"final_output"</w:t>
      </w:r>
      <w:r w:rsidDel="00000000" w:rsidR="00000000" w:rsidRPr="00000000">
        <w:rPr>
          <w:rFonts w:ascii="Google Sans" w:cs="Google Sans" w:eastAsia="Google Sans" w:hAnsi="Google Sans"/>
          <w:color w:val="1f1f1f"/>
          <w:shd w:fill="141414" w:val="clear"/>
          <w:rtl w:val="0"/>
        </w:rPr>
        <w:t xml:space="preserve">]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"NOTICE: The requested inquiry touches upon an unapproved clinical use or indication.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"Under FDA OPDP regulations, commercial personnel cannot discuss off-label uses.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"This query has been logged and routed to Medical Affairs as an Unsolicited Medical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"Information Request (MIR-2024-9182). A Medical Science Liaison will respond directly to the HCP."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"compliance_passed"</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t xml:space="preserve">        </w:t>
        <w:br w:type="textWrapping"/>
        <w:t xml:space="preserve">    logger.info(</w:t>
      </w:r>
      <w:r w:rsidDel="00000000" w:rsidR="00000000" w:rsidRPr="00000000">
        <w:rPr>
          <w:rFonts w:ascii="Google Sans" w:cs="Google Sans" w:eastAsia="Google Sans" w:hAnsi="Google Sans"/>
          <w:i w:val="0"/>
          <w:iCs w:val="0"/>
          <w:color w:val="60d673"/>
          <w:sz w:val="20"/>
          <w:szCs w:val="20"/>
          <w:shd w:fill="141414" w:val="clear"/>
          <w:rtl w:val="0"/>
        </w:rPr>
        <w:t xml:space="preserve">"Governance Agent: Validating draft against OPDP and Fair Balance standards."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sql_data = state[</w:t>
      </w:r>
      <w:r w:rsidDel="00000000" w:rsidR="00000000" w:rsidRPr="00000000">
        <w:rPr>
          <w:rFonts w:ascii="Google Sans" w:cs="Google Sans" w:eastAsia="Google Sans" w:hAnsi="Google Sans"/>
          <w:i w:val="0"/>
          <w:iCs w:val="0"/>
          <w:color w:val="60d673"/>
          <w:sz w:val="20"/>
          <w:szCs w:val="20"/>
          <w:shd w:fill="141414" w:val="clear"/>
          <w:rtl w:val="0"/>
        </w:rPr>
        <w:t xml:space="preserve">"sql_results"</w:t>
      </w:r>
      <w:r w:rsidDel="00000000" w:rsidR="00000000" w:rsidRPr="00000000">
        <w:rPr>
          <w:rFonts w:ascii="Google Sans" w:cs="Google Sans" w:eastAsia="Google Sans" w:hAnsi="Google Sans"/>
          <w:color w:val="1f1f1f"/>
          <w:shd w:fill="141414" w:val="clear"/>
          <w:rtl w:val="0"/>
        </w:rPr>
        <w:t xml:space="preserve">]</w:t>
        <w:br w:type="textWrapping"/>
        <w:t xml:space="preserve">    reg_data = state[</w:t>
      </w:r>
      <w:r w:rsidDel="00000000" w:rsidR="00000000" w:rsidRPr="00000000">
        <w:rPr>
          <w:rFonts w:ascii="Google Sans" w:cs="Google Sans" w:eastAsia="Google Sans" w:hAnsi="Google Sans"/>
          <w:i w:val="0"/>
          <w:iCs w:val="0"/>
          <w:color w:val="60d673"/>
          <w:sz w:val="20"/>
          <w:szCs w:val="20"/>
          <w:shd w:fill="141414" w:val="clear"/>
          <w:rtl w:val="0"/>
        </w:rPr>
        <w:t xml:space="preserve">"regulatory_context"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hcp_list = </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.join([</w:t>
      </w:r>
      <w:r w:rsidDel="00000000" w:rsidR="00000000" w:rsidRPr="00000000">
        <w:rPr>
          <w:rFonts w:ascii="Google Sans" w:cs="Google Sans" w:eastAsia="Google Sans" w:hAnsi="Google Sans"/>
          <w:i w:val="0"/>
          <w:iCs w:val="0"/>
          <w:color w:val="60d673"/>
          <w:sz w:val="20"/>
          <w:szCs w:val="20"/>
          <w:shd w:fill="141414" w:val="clear"/>
          <w:rtl w:val="0"/>
        </w:rPr>
        <w:t xml:space="preserve">f"{h['hcp_name']} ({h['eligible_uncontrolled_patients']} patients)"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h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sql_data])</w:t>
        <w:br w:type="textWrapping"/>
        <w:t xml:space="preserve">    </w:t>
        <w:br w:type="textWrapping"/>
        <w:t xml:space="preserve">    draft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f"Prioritized Clinicians in Territory {state['user_territory']}:\n{hcp_list}\n\n"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f"Clinical Detailing Evidence (On-Label): {reg_data['text']}\n"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f"Important Safety Information: {reg_data['safety_disclosure']}"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"provenance_trace"</w:t>
      </w:r>
      <w:r w:rsidDel="00000000" w:rsidR="00000000" w:rsidRPr="00000000">
        <w:rPr>
          <w:rFonts w:ascii="Google Sans" w:cs="Google Sans" w:eastAsia="Google Sans" w:hAnsi="Google Sans"/>
          <w:color w:val="1f1f1f"/>
          <w:shd w:fill="141414" w:val="clear"/>
          <w:rtl w:val="0"/>
        </w:rPr>
        <w:t xml:space="preserve">] = [</w:t>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"claim"</w:t>
      </w:r>
      <w:r w:rsidDel="00000000" w:rsidR="00000000" w:rsidRPr="00000000">
        <w:rPr>
          <w:rFonts w:ascii="Google Sans" w:cs="Google Sans" w:eastAsia="Google Sans" w:hAnsi="Google Sans"/>
          <w:color w:val="1f1f1f"/>
          <w:shd w:fill="141414" w:val="clear"/>
          <w:rtl w:val="0"/>
        </w:rPr>
        <w:t xml:space="preserve">: reg_data[</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"source_spl_set_id"</w:t>
      </w:r>
      <w:r w:rsidDel="00000000" w:rsidR="00000000" w:rsidRPr="00000000">
        <w:rPr>
          <w:rFonts w:ascii="Google Sans" w:cs="Google Sans" w:eastAsia="Google Sans" w:hAnsi="Google Sans"/>
          <w:color w:val="1f1f1f"/>
          <w:shd w:fill="141414" w:val="clear"/>
          <w:rtl w:val="0"/>
        </w:rPr>
        <w:t xml:space="preserve">: reg_data[</w:t>
      </w:r>
      <w:r w:rsidDel="00000000" w:rsidR="00000000" w:rsidRPr="00000000">
        <w:rPr>
          <w:rFonts w:ascii="Google Sans" w:cs="Google Sans" w:eastAsia="Google Sans" w:hAnsi="Google Sans"/>
          <w:i w:val="0"/>
          <w:iCs w:val="0"/>
          <w:color w:val="60d673"/>
          <w:sz w:val="20"/>
          <w:szCs w:val="20"/>
          <w:shd w:fill="141414" w:val="clear"/>
          <w:rtl w:val="0"/>
        </w:rPr>
        <w:t xml:space="preserve">"spl_set_id"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"section"</w:t>
      </w:r>
      <w:r w:rsidDel="00000000" w:rsidR="00000000" w:rsidRPr="00000000">
        <w:rPr>
          <w:rFonts w:ascii="Google Sans" w:cs="Google Sans" w:eastAsia="Google Sans" w:hAnsi="Google Sans"/>
          <w:color w:val="1f1f1f"/>
          <w:shd w:fill="141414" w:val="clear"/>
          <w:rtl w:val="0"/>
        </w:rPr>
        <w:t xml:space="preserve">: reg_data[</w:t>
      </w:r>
      <w:r w:rsidDel="00000000" w:rsidR="00000000" w:rsidRPr="00000000">
        <w:rPr>
          <w:rFonts w:ascii="Google Sans" w:cs="Google Sans" w:eastAsia="Google Sans" w:hAnsi="Google Sans"/>
          <w:i w:val="0"/>
          <w:iCs w:val="0"/>
          <w:color w:val="60d673"/>
          <w:sz w:val="20"/>
          <w:szCs w:val="20"/>
          <w:shd w:fill="141414" w:val="clear"/>
          <w:rtl w:val="0"/>
        </w:rPr>
        <w:t xml:space="preserve">"section"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"trial_id"</w:t>
      </w:r>
      <w:r w:rsidDel="00000000" w:rsidR="00000000" w:rsidRPr="00000000">
        <w:rPr>
          <w:rFonts w:ascii="Google Sans" w:cs="Google Sans" w:eastAsia="Google Sans" w:hAnsi="Google Sans"/>
          <w:color w:val="1f1f1f"/>
          <w:shd w:fill="141414" w:val="clear"/>
          <w:rtl w:val="0"/>
        </w:rPr>
        <w:t xml:space="preserve">: reg_data[</w:t>
      </w:r>
      <w:r w:rsidDel="00000000" w:rsidR="00000000" w:rsidRPr="00000000">
        <w:rPr>
          <w:rFonts w:ascii="Google Sans" w:cs="Google Sans" w:eastAsia="Google Sans" w:hAnsi="Google Sans"/>
          <w:i w:val="0"/>
          <w:iCs w:val="0"/>
          <w:color w:val="60d673"/>
          <w:sz w:val="20"/>
          <w:szCs w:val="20"/>
          <w:shd w:fill="141414" w:val="clear"/>
          <w:rtl w:val="0"/>
        </w:rPr>
        <w:t xml:space="preserve">"trial_id"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"table_reference"</w:t>
      </w:r>
      <w:r w:rsidDel="00000000" w:rsidR="00000000" w:rsidRPr="00000000">
        <w:rPr>
          <w:rFonts w:ascii="Google Sans" w:cs="Google Sans" w:eastAsia="Google Sans" w:hAnsi="Google Sans"/>
          <w:color w:val="1f1f1f"/>
          <w:shd w:fill="141414" w:val="clear"/>
          <w:rtl w:val="0"/>
        </w:rPr>
        <w:t xml:space="preserve">: reg_data[</w:t>
      </w:r>
      <w:r w:rsidDel="00000000" w:rsidR="00000000" w:rsidRPr="00000000">
        <w:rPr>
          <w:rFonts w:ascii="Google Sans" w:cs="Google Sans" w:eastAsia="Google Sans" w:hAnsi="Google Sans"/>
          <w:i w:val="0"/>
          <w:iCs w:val="0"/>
          <w:color w:val="60d673"/>
          <w:sz w:val="20"/>
          <w:szCs w:val="20"/>
          <w:shd w:fill="141414" w:val="clear"/>
          <w:rtl w:val="0"/>
        </w:rPr>
        <w:t xml:space="preserve">"table_ref"</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"draft_response"</w:t>
      </w:r>
      <w:r w:rsidDel="00000000" w:rsidR="00000000" w:rsidRPr="00000000">
        <w:rPr>
          <w:rFonts w:ascii="Google Sans" w:cs="Google Sans" w:eastAsia="Google Sans" w:hAnsi="Google Sans"/>
          <w:color w:val="1f1f1f"/>
          <w:shd w:fill="141414" w:val="clear"/>
          <w:rtl w:val="0"/>
        </w:rPr>
        <w:t xml:space="preserve">] = draft</w:t>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"compliance_passed"</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"final_output"</w:t>
      </w:r>
      <w:r w:rsidDel="00000000" w:rsidR="00000000" w:rsidRPr="00000000">
        <w:rPr>
          <w:rFonts w:ascii="Google Sans" w:cs="Google Sans" w:eastAsia="Google Sans" w:hAnsi="Google Sans"/>
          <w:color w:val="1f1f1f"/>
          <w:shd w:fill="141414" w:val="clear"/>
          <w:rtl w:val="0"/>
        </w:rPr>
        <w:t xml:space="preserve">] = draft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Multi-Agent Workflow Coordinator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EnterpriseCopilotWorkflow:</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pass</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run</w:t>
      </w:r>
      <w:r w:rsidDel="00000000" w:rsidR="00000000" w:rsidRPr="00000000">
        <w:rPr>
          <w:rFonts w:ascii="Google Sans" w:cs="Google Sans" w:eastAsia="Google Sans" w:hAnsi="Google Sans"/>
          <w:i w:val="0"/>
          <w:iCs w:val="0"/>
          <w:color w:val="ffffff"/>
          <w:sz w:val="20"/>
          <w:szCs w:val="20"/>
          <w:shd w:fill="141414" w:val="clear"/>
          <w:rtl w:val="0"/>
        </w:rPr>
        <w:t xml:space="preserve">(self, initial_state: AgentState) -&gt; AgentState:</w:t>
      </w:r>
      <w:r w:rsidDel="00000000" w:rsidR="00000000" w:rsidRPr="00000000">
        <w:rPr>
          <w:rFonts w:ascii="Google Sans" w:cs="Google Sans" w:eastAsia="Google Sans" w:hAnsi="Google Sans"/>
          <w:color w:val="1f1f1f"/>
          <w:shd w:fill="141414" w:val="clear"/>
          <w:rtl w:val="0"/>
        </w:rPr>
        <w:br w:type="textWrapping"/>
        <w:t xml:space="preserve">        state = initial_state</w:t>
        <w:br w:type="textWrapping"/>
        <w:t xml:space="preserve">        state = supervisor_agent_node(state)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w:t>
      </w:r>
      <w:r w:rsidDel="00000000" w:rsidR="00000000" w:rsidRPr="00000000">
        <w:rPr>
          <w:rFonts w:ascii="Google Sans" w:cs="Google Sans" w:eastAsia="Google Sans" w:hAnsi="Google Sans"/>
          <w:i w:val="0"/>
          <w:iCs w:val="0"/>
          <w:color w:val="60d673"/>
          <w:sz w:val="20"/>
          <w:szCs w:val="20"/>
          <w:shd w:fill="141414" w:val="clear"/>
          <w:rtl w:val="0"/>
        </w:rPr>
        <w:t xml:space="preserve">"requires_mir"</w:t>
      </w:r>
      <w:r w:rsidDel="00000000" w:rsidR="00000000" w:rsidRPr="00000000">
        <w:rPr>
          <w:rFonts w:ascii="Google Sans" w:cs="Google Sans" w:eastAsia="Google Sans" w:hAnsi="Google Sans"/>
          <w:color w:val="1f1f1f"/>
          <w:shd w:fill="141414" w:val="clear"/>
          <w:rtl w:val="0"/>
        </w:rPr>
        <w:t xml:space="preserve">]:</w:t>
        <w:br w:type="textWrapping"/>
        <w:t xml:space="preserve">            state = promotional_governance_agent_node(state)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t xml:space="preserve">            </w:t>
        <w:br w:type="textWrapping"/>
        <w:t xml:space="preserve">        state = structured_analytics_agent_node(state)</w:t>
        <w:br w:type="textWrapping"/>
        <w:t xml:space="preserve">        state = unstructured_regulatory_agent_node(state)</w:t>
        <w:br w:type="textWrapping"/>
        <w:t xml:space="preserve">        state = promotional_governance_agent_node(state)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state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workflow = EnterpriseCopilotWorkflow()</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Execution Test A: Compliant On-Label Query</w:t>
      </w:r>
      <w:r w:rsidDel="00000000" w:rsidR="00000000" w:rsidRPr="00000000">
        <w:rPr>
          <w:rFonts w:ascii="Google Sans" w:cs="Google Sans" w:eastAsia="Google Sans" w:hAnsi="Google Sans"/>
          <w:color w:val="1f1f1f"/>
          <w:shd w:fill="141414" w:val="clear"/>
          <w:rtl w:val="0"/>
        </w:rPr>
        <w:br w:type="textWrapping"/>
        <w:t xml:space="preserve">    commercial_request: AgentState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"query"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"Which clinicians in my territory have uncontrolled psoriasis patients eligible for our IL-23 biologic, and what is our Week 16 trial efficacy?"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"user_role"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"Field_Rep"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"user_territory"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"US-PA-PHILLY-01"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"is_off_label"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"requires_mir"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"structured_sql"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"sql_results"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"regulatory_context"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"compliance_passed"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"draft_response"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"final_output"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"provenance_trace"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t xml:space="preserve">    result_a = workflow.run(commercial_request)</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"\n--- TEST SCENARIO A: ON-LABEL COMMERCIAL RUN ---"</w:t>
      </w:r>
      <w:r w:rsidDel="00000000" w:rsidR="00000000" w:rsidRPr="00000000">
        <w:rPr>
          <w:rFonts w:ascii="Google Sans" w:cs="Google Sans" w:eastAsia="Google Sans" w:hAnsi="Google Sans"/>
          <w:color w:val="1f1f1f"/>
          <w:shd w:fill="141414" w:val="clear"/>
          <w:rtl w:val="0"/>
        </w:rPr>
        <w:t xml:space="preserve">)</w:t>
        <w:br w:type="textWrapping"/>
        <w:t xml:space="preserve">    print(result_a[</w:t>
      </w:r>
      <w:r w:rsidDel="00000000" w:rsidR="00000000" w:rsidRPr="00000000">
        <w:rPr>
          <w:rFonts w:ascii="Google Sans" w:cs="Google Sans" w:eastAsia="Google Sans" w:hAnsi="Google Sans"/>
          <w:i w:val="0"/>
          <w:iCs w:val="0"/>
          <w:color w:val="60d673"/>
          <w:sz w:val="20"/>
          <w:szCs w:val="20"/>
          <w:shd w:fill="141414" w:val="clear"/>
          <w:rtl w:val="0"/>
        </w:rPr>
        <w:t xml:space="preserve">"final_output"</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"Provenance Trace:"</w:t>
      </w:r>
      <w:r w:rsidDel="00000000" w:rsidR="00000000" w:rsidRPr="00000000">
        <w:rPr>
          <w:rFonts w:ascii="Google Sans" w:cs="Google Sans" w:eastAsia="Google Sans" w:hAnsi="Google Sans"/>
          <w:color w:val="1f1f1f"/>
          <w:shd w:fill="141414" w:val="clear"/>
          <w:rtl w:val="0"/>
        </w:rPr>
        <w:t xml:space="preserve">, json.dumps(result_a[</w:t>
      </w:r>
      <w:r w:rsidDel="00000000" w:rsidR="00000000" w:rsidRPr="00000000">
        <w:rPr>
          <w:rFonts w:ascii="Google Sans" w:cs="Google Sans" w:eastAsia="Google Sans" w:hAnsi="Google Sans"/>
          <w:i w:val="0"/>
          <w:iCs w:val="0"/>
          <w:color w:val="60d673"/>
          <w:sz w:val="20"/>
          <w:szCs w:val="20"/>
          <w:shd w:fill="141414" w:val="clear"/>
          <w:rtl w:val="0"/>
        </w:rPr>
        <w:t xml:space="preserve">"provenance_trace"</w:t>
      </w:r>
      <w:r w:rsidDel="00000000" w:rsidR="00000000" w:rsidRPr="00000000">
        <w:rPr>
          <w:rFonts w:ascii="Google Sans" w:cs="Google Sans" w:eastAsia="Google Sans" w:hAnsi="Google Sans"/>
          <w:color w:val="1f1f1f"/>
          <w:shd w:fill="141414" w:val="clear"/>
          <w:rtl w:val="0"/>
        </w:rPr>
        <w:t xml:space="preserve">], indent=</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Execution Test B: Off-Label Intercept</w:t>
      </w:r>
      <w:r w:rsidDel="00000000" w:rsidR="00000000" w:rsidRPr="00000000">
        <w:rPr>
          <w:rFonts w:ascii="Google Sans" w:cs="Google Sans" w:eastAsia="Google Sans" w:hAnsi="Google Sans"/>
          <w:color w:val="1f1f1f"/>
          <w:shd w:fill="141414" w:val="clear"/>
          <w:rtl w:val="0"/>
        </w:rPr>
        <w:br w:type="textWrapping"/>
        <w:t xml:space="preserve">    off_label_request: AgentState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"query"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"Can I get detailing points on pediatric applications and unapproved rheumatoid arthritis uses for our drug?"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"user_role"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"Field_Rep"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"user_territory"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"US-PA-PHILLY-01"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"is_off_label"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"requires_mir"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"structured_sql"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"sql_results"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"regulatory_context"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"compliance_passed"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"draft_response"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"final_output"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"provenance_trace"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t xml:space="preserve">    result_b = workflow.run(off_label_request)</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"\n--- TEST SCENARIO B: OFF-LABEL FIREWALL INTERCEPT ---"</w:t>
      </w:r>
      <w:r w:rsidDel="00000000" w:rsidR="00000000" w:rsidRPr="00000000">
        <w:rPr>
          <w:rFonts w:ascii="Google Sans" w:cs="Google Sans" w:eastAsia="Google Sans" w:hAnsi="Google Sans"/>
          <w:color w:val="1f1f1f"/>
          <w:shd w:fill="141414" w:val="clear"/>
          <w:rtl w:val="0"/>
        </w:rPr>
        <w:t xml:space="preserve">)</w:t>
        <w:br w:type="textWrapping"/>
        <w:t xml:space="preserve">    print(result_b[</w:t>
      </w:r>
      <w:r w:rsidDel="00000000" w:rsidR="00000000" w:rsidRPr="00000000">
        <w:rPr>
          <w:rFonts w:ascii="Google Sans" w:cs="Google Sans" w:eastAsia="Google Sans" w:hAnsi="Google Sans"/>
          <w:i w:val="0"/>
          <w:iCs w:val="0"/>
          <w:color w:val="60d673"/>
          <w:sz w:val="20"/>
          <w:szCs w:val="20"/>
          <w:shd w:fill="141414" w:val="clear"/>
          <w:rtl w:val="0"/>
        </w:rPr>
        <w:t xml:space="preserve">"final_output"</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multi-layered architecture integrates permissive open-source models, structured medical ontologies, and agentic governance mechanisms to provide an end-to-end commercial intelligence platform. By bridging real-world patient data with live regulatory grounding, the system accelerates biopharmaceutical adoption while maintaining strict compliance with healthcare privacy and promotional standards.</w:t>
      </w:r>
    </w:p>
    <w:p w:rsidR="00000000" w:rsidDel="00000000" w:rsidP="00000000" w:rsidRDefault="00000000" w:rsidRPr="00000000" w14:paraId="0000025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5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Affairs vs. Commercial: FDA Rules &amp; Compliance, </w:t>
      </w:r>
      <w:hyperlink r:id="rId130">
        <w:r w:rsidDel="00000000" w:rsidR="00000000" w:rsidRPr="00000000">
          <w:rPr>
            <w:rFonts w:ascii="Google Sans" w:cs="Google Sans" w:eastAsia="Google Sans" w:hAnsi="Google Sans"/>
            <w:color w:val="0000ee"/>
            <w:sz w:val="24"/>
            <w:szCs w:val="24"/>
            <w:u w:val="single"/>
            <w:rtl w:val="0"/>
          </w:rPr>
          <w:t xml:space="preserve">https://kendallpc.com/msl-sales-collaboration-compliance/</w:t>
        </w:r>
      </w:hyperlink>
      <w:r w:rsidDel="00000000" w:rsidR="00000000" w:rsidRPr="00000000">
        <w:rPr>
          <w:rtl w:val="0"/>
        </w:rPr>
      </w:r>
    </w:p>
    <w:p w:rsidR="00000000" w:rsidDel="00000000" w:rsidP="00000000" w:rsidRDefault="00000000" w:rsidRPr="00000000" w14:paraId="0000025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Complying with MSL Regulations - H1, </w:t>
      </w:r>
      <w:hyperlink r:id="rId131">
        <w:r w:rsidDel="00000000" w:rsidR="00000000" w:rsidRPr="00000000">
          <w:rPr>
            <w:rFonts w:ascii="Google Sans" w:cs="Google Sans" w:eastAsia="Google Sans" w:hAnsi="Google Sans"/>
            <w:color w:val="0000ee"/>
            <w:sz w:val="24"/>
            <w:szCs w:val="24"/>
            <w:u w:val="single"/>
            <w:rtl w:val="0"/>
          </w:rPr>
          <w:t xml:space="preserve">https://h1.com/blog/blog-2019-1-25-complying-with-msl-regulations/</w:t>
        </w:r>
      </w:hyperlink>
      <w:r w:rsidDel="00000000" w:rsidR="00000000" w:rsidRPr="00000000">
        <w:rPr>
          <w:rtl w:val="0"/>
        </w:rPr>
      </w:r>
    </w:p>
    <w:p w:rsidR="00000000" w:rsidDel="00000000" w:rsidP="00000000" w:rsidRDefault="00000000" w:rsidRPr="00000000" w14:paraId="0000025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Responding to Unsolicited Requests for Off-Label Information About, </w:t>
      </w:r>
      <w:hyperlink r:id="rId132">
        <w:r w:rsidDel="00000000" w:rsidR="00000000" w:rsidRPr="00000000">
          <w:rPr>
            <w:rFonts w:ascii="Google Sans" w:cs="Google Sans" w:eastAsia="Google Sans" w:hAnsi="Google Sans"/>
            <w:color w:val="0000ee"/>
            <w:sz w:val="24"/>
            <w:szCs w:val="24"/>
            <w:u w:val="single"/>
            <w:rtl w:val="0"/>
          </w:rPr>
          <w:t xml:space="preserve">https://www.fda.gov/files/drugs/published/Responding-to-Unsolicited-Requests-for-Off-Label-Information-About-Prescription-Drugs-and-Medical-Devices.pdf</w:t>
        </w:r>
      </w:hyperlink>
      <w:r w:rsidDel="00000000" w:rsidR="00000000" w:rsidRPr="00000000">
        <w:rPr>
          <w:rtl w:val="0"/>
        </w:rPr>
      </w:r>
    </w:p>
    <w:p w:rsidR="00000000" w:rsidDel="00000000" w:rsidP="00000000" w:rsidRDefault="00000000" w:rsidRPr="00000000" w14:paraId="0000025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Off-Label Promotion: A Compliance Guide for MSL Teams, </w:t>
      </w:r>
      <w:hyperlink r:id="rId133">
        <w:r w:rsidDel="00000000" w:rsidR="00000000" w:rsidRPr="00000000">
          <w:rPr>
            <w:rFonts w:ascii="Google Sans" w:cs="Google Sans" w:eastAsia="Google Sans" w:hAnsi="Google Sans"/>
            <w:color w:val="0000ee"/>
            <w:sz w:val="24"/>
            <w:szCs w:val="24"/>
            <w:u w:val="single"/>
            <w:rtl w:val="0"/>
          </w:rPr>
          <w:t xml:space="preserve">https://intuitionlabs.ai/articles/off-label-promotion-msl-compliance-guide</w:t>
        </w:r>
      </w:hyperlink>
      <w:r w:rsidDel="00000000" w:rsidR="00000000" w:rsidRPr="00000000">
        <w:rPr>
          <w:rtl w:val="0"/>
        </w:rPr>
      </w:r>
    </w:p>
    <w:p w:rsidR="00000000" w:rsidDel="00000000" w:rsidP="00000000" w:rsidRDefault="00000000" w:rsidRPr="00000000" w14:paraId="00000255">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Communicate Unapproved Uses Without Breaking the Law, </w:t>
      </w:r>
      <w:hyperlink r:id="rId134">
        <w:r w:rsidDel="00000000" w:rsidR="00000000" w:rsidRPr="00000000">
          <w:rPr>
            <w:rFonts w:ascii="Google Sans" w:cs="Google Sans" w:eastAsia="Google Sans" w:hAnsi="Google Sans"/>
            <w:color w:val="0000ee"/>
            <w:sz w:val="24"/>
            <w:szCs w:val="24"/>
            <w:u w:val="single"/>
            <w:rtl w:val="0"/>
          </w:rPr>
          <w:t xml:space="preserve">https://globalforum.diaglobal.org/issue/july-2024/how-to-communicate-unapproved-uses-without-breaking-the-law/</w:t>
        </w:r>
      </w:hyperlink>
      <w:r w:rsidDel="00000000" w:rsidR="00000000" w:rsidRPr="00000000">
        <w:rPr>
          <w:rtl w:val="0"/>
        </w:rPr>
      </w:r>
    </w:p>
    <w:p w:rsidR="00000000" w:rsidDel="00000000" w:rsidP="00000000" w:rsidRDefault="00000000" w:rsidRPr="00000000" w14:paraId="0000025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Health Products Advertising and Promotion Requirements, </w:t>
      </w:r>
      <w:hyperlink r:id="rId135">
        <w:r w:rsidDel="00000000" w:rsidR="00000000" w:rsidRPr="00000000">
          <w:rPr>
            <w:rFonts w:ascii="Google Sans" w:cs="Google Sans" w:eastAsia="Google Sans" w:hAnsi="Google Sans"/>
            <w:color w:val="0000ee"/>
            <w:sz w:val="24"/>
            <w:szCs w:val="24"/>
            <w:u w:val="single"/>
            <w:rtl w:val="0"/>
          </w:rPr>
          <w:t xml:space="preserve">https://www.fdli.org/wp-content/uploads/2021/11/Faget-Kyle.pdf</w:t>
        </w:r>
      </w:hyperlink>
      <w:r w:rsidDel="00000000" w:rsidR="00000000" w:rsidRPr="00000000">
        <w:rPr>
          <w:rtl w:val="0"/>
        </w:rPr>
      </w:r>
    </w:p>
    <w:p w:rsidR="00000000" w:rsidDel="00000000" w:rsidP="00000000" w:rsidRDefault="00000000" w:rsidRPr="00000000" w14:paraId="00000257">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Diffusion Models for Tabular Data Imputation and Synthetic, </w:t>
      </w:r>
      <w:hyperlink r:id="rId136">
        <w:r w:rsidDel="00000000" w:rsidR="00000000" w:rsidRPr="00000000">
          <w:rPr>
            <w:rFonts w:ascii="Google Sans" w:cs="Google Sans" w:eastAsia="Google Sans" w:hAnsi="Google Sans"/>
            <w:color w:val="0000ee"/>
            <w:sz w:val="24"/>
            <w:szCs w:val="24"/>
            <w:u w:val="single"/>
            <w:rtl w:val="0"/>
          </w:rPr>
          <w:t xml:space="preserve">https://www.researchgate.net/publication/381960222_Diffusion_Models_for_Tabular_Data_Imputation_and_Synthetic_Data_Generation</w:t>
        </w:r>
      </w:hyperlink>
      <w:r w:rsidDel="00000000" w:rsidR="00000000" w:rsidRPr="00000000">
        <w:rPr>
          <w:rtl w:val="0"/>
        </w:rPr>
      </w:r>
    </w:p>
    <w:p w:rsidR="00000000" w:rsidDel="00000000" w:rsidP="00000000" w:rsidRDefault="00000000" w:rsidRPr="00000000" w14:paraId="00000258">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TabDDPM: Modelling Tabular Data with Diffusion Models - arXiv, </w:t>
      </w:r>
      <w:hyperlink r:id="rId137">
        <w:r w:rsidDel="00000000" w:rsidR="00000000" w:rsidRPr="00000000">
          <w:rPr>
            <w:rFonts w:ascii="Google Sans" w:cs="Google Sans" w:eastAsia="Google Sans" w:hAnsi="Google Sans"/>
            <w:color w:val="0000ee"/>
            <w:sz w:val="24"/>
            <w:szCs w:val="24"/>
            <w:u w:val="single"/>
            <w:rtl w:val="0"/>
          </w:rPr>
          <w:t xml:space="preserve">https://arxiv.org/abs/2209.15421</w:t>
        </w:r>
      </w:hyperlink>
      <w:r w:rsidDel="00000000" w:rsidR="00000000" w:rsidRPr="00000000">
        <w:rPr>
          <w:rtl w:val="0"/>
        </w:rPr>
      </w:r>
    </w:p>
    <w:p w:rsidR="00000000" w:rsidDel="00000000" w:rsidP="00000000" w:rsidRDefault="00000000" w:rsidRPr="00000000" w14:paraId="0000025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CASCADED FLOW MATCHING FOR ... - OpenReview, </w:t>
      </w:r>
      <w:hyperlink r:id="rId138">
        <w:r w:rsidDel="00000000" w:rsidR="00000000" w:rsidRPr="00000000">
          <w:rPr>
            <w:rFonts w:ascii="Google Sans" w:cs="Google Sans" w:eastAsia="Google Sans" w:hAnsi="Google Sans"/>
            <w:color w:val="0000ee"/>
            <w:sz w:val="24"/>
            <w:szCs w:val="24"/>
            <w:u w:val="single"/>
            <w:rtl w:val="0"/>
          </w:rPr>
          <w:t xml:space="preserve">https://openreview.net/pdf/281965eb1983f06f4499694fcd7437cd01512326.pdf</w:t>
        </w:r>
      </w:hyperlink>
      <w:r w:rsidDel="00000000" w:rsidR="00000000" w:rsidRPr="00000000">
        <w:rPr>
          <w:rtl w:val="0"/>
        </w:rPr>
      </w:r>
    </w:p>
    <w:p w:rsidR="00000000" w:rsidDel="00000000" w:rsidP="00000000" w:rsidRDefault="00000000" w:rsidRPr="00000000" w14:paraId="0000025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 Real Errors: How (Not) to Publish and Use ... - arXiv, </w:t>
      </w:r>
      <w:hyperlink r:id="rId139">
        <w:r w:rsidDel="00000000" w:rsidR="00000000" w:rsidRPr="00000000">
          <w:rPr>
            <w:rFonts w:ascii="Google Sans" w:cs="Google Sans" w:eastAsia="Google Sans" w:hAnsi="Google Sans"/>
            <w:color w:val="0000ee"/>
            <w:sz w:val="24"/>
            <w:szCs w:val="24"/>
            <w:u w:val="single"/>
            <w:rtl w:val="0"/>
          </w:rPr>
          <w:t xml:space="preserve">https://arxiv.org/html/2305.09235</w:t>
        </w:r>
      </w:hyperlink>
      <w:r w:rsidDel="00000000" w:rsidR="00000000" w:rsidRPr="00000000">
        <w:rPr>
          <w:rtl w:val="0"/>
        </w:rPr>
      </w:r>
    </w:p>
    <w:p w:rsidR="00000000" w:rsidDel="00000000" w:rsidP="00000000" w:rsidRDefault="00000000" w:rsidRPr="00000000" w14:paraId="0000025B">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 for privacy-preserving clinical risk prediction - PMC, </w:t>
      </w:r>
      <w:hyperlink r:id="rId140">
        <w:r w:rsidDel="00000000" w:rsidR="00000000" w:rsidRPr="00000000">
          <w:rPr>
            <w:rFonts w:ascii="Google Sans" w:cs="Google Sans" w:eastAsia="Google Sans" w:hAnsi="Google Sans"/>
            <w:color w:val="0000ee"/>
            <w:sz w:val="24"/>
            <w:szCs w:val="24"/>
            <w:u w:val="single"/>
            <w:rtl w:val="0"/>
          </w:rPr>
          <w:t xml:space="preserve">https://pmc.ncbi.nlm.nih.gov/articles/PMC11514179/</w:t>
        </w:r>
      </w:hyperlink>
      <w:r w:rsidDel="00000000" w:rsidR="00000000" w:rsidRPr="00000000">
        <w:rPr>
          <w:rtl w:val="0"/>
        </w:rPr>
      </w:r>
    </w:p>
    <w:p w:rsidR="00000000" w:rsidDel="00000000" w:rsidP="00000000" w:rsidRDefault="00000000" w:rsidRPr="00000000" w14:paraId="0000025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MedCPT: Contrastive Pre-trained Transformers with Large-scale, </w:t>
      </w:r>
      <w:hyperlink r:id="rId141">
        <w:r w:rsidDel="00000000" w:rsidR="00000000" w:rsidRPr="00000000">
          <w:rPr>
            <w:rFonts w:ascii="Google Sans" w:cs="Google Sans" w:eastAsia="Google Sans" w:hAnsi="Google Sans"/>
            <w:color w:val="0000ee"/>
            <w:sz w:val="24"/>
            <w:szCs w:val="24"/>
            <w:u w:val="single"/>
            <w:rtl w:val="0"/>
          </w:rPr>
          <w:t xml:space="preserve">https://pmc.ncbi.nlm.nih.gov/articles/PMC12478430/</w:t>
        </w:r>
      </w:hyperlink>
      <w:r w:rsidDel="00000000" w:rsidR="00000000" w:rsidRPr="00000000">
        <w:rPr>
          <w:rtl w:val="0"/>
        </w:rPr>
      </w:r>
    </w:p>
    <w:p w:rsidR="00000000" w:rsidDel="00000000" w:rsidP="00000000" w:rsidRDefault="00000000" w:rsidRPr="00000000" w14:paraId="0000025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MedCPT: Contrastive Pre-trained Transformers with large-scale, </w:t>
      </w:r>
      <w:hyperlink r:id="rId142">
        <w:r w:rsidDel="00000000" w:rsidR="00000000" w:rsidRPr="00000000">
          <w:rPr>
            <w:rFonts w:ascii="Google Sans" w:cs="Google Sans" w:eastAsia="Google Sans" w:hAnsi="Google Sans"/>
            <w:color w:val="0000ee"/>
            <w:sz w:val="24"/>
            <w:szCs w:val="24"/>
            <w:u w:val="single"/>
            <w:rtl w:val="0"/>
          </w:rPr>
          <w:t xml:space="preserve">https://www.researchgate.net/publication/375418804_MedCPT_Contrastive_Pre-trained_Transformers_with_large-scale_PubMed_search_logs_for_zero-shot_biomedical_information_retrieval</w:t>
        </w:r>
      </w:hyperlink>
      <w:r w:rsidDel="00000000" w:rsidR="00000000" w:rsidRPr="00000000">
        <w:rPr>
          <w:rtl w:val="0"/>
        </w:rPr>
      </w:r>
    </w:p>
    <w:p w:rsidR="00000000" w:rsidDel="00000000" w:rsidP="00000000" w:rsidRDefault="00000000" w:rsidRPr="00000000" w14:paraId="0000025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MedCPT: Contrastive Pre-trained Transformers with large-scale, </w:t>
      </w:r>
      <w:hyperlink r:id="rId143">
        <w:r w:rsidDel="00000000" w:rsidR="00000000" w:rsidRPr="00000000">
          <w:rPr>
            <w:rFonts w:ascii="Google Sans" w:cs="Google Sans" w:eastAsia="Google Sans" w:hAnsi="Google Sans"/>
            <w:color w:val="0000ee"/>
            <w:sz w:val="24"/>
            <w:szCs w:val="24"/>
            <w:u w:val="single"/>
            <w:rtl w:val="0"/>
          </w:rPr>
          <w:t xml:space="preserve">https://pmc.ncbi.nlm.nih.gov/articles/PMC10627406/</w:t>
        </w:r>
      </w:hyperlink>
      <w:r w:rsidDel="00000000" w:rsidR="00000000" w:rsidRPr="00000000">
        <w:rPr>
          <w:rtl w:val="0"/>
        </w:rPr>
      </w:r>
    </w:p>
    <w:p w:rsidR="00000000" w:rsidDel="00000000" w:rsidP="00000000" w:rsidRDefault="00000000" w:rsidRPr="00000000" w14:paraId="0000025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LinkBERT: Pretraining Language Models with Document Links, </w:t>
      </w:r>
      <w:hyperlink r:id="rId144">
        <w:r w:rsidDel="00000000" w:rsidR="00000000" w:rsidRPr="00000000">
          <w:rPr>
            <w:rFonts w:ascii="Google Sans" w:cs="Google Sans" w:eastAsia="Google Sans" w:hAnsi="Google Sans"/>
            <w:color w:val="0000ee"/>
            <w:sz w:val="24"/>
            <w:szCs w:val="24"/>
            <w:u w:val="single"/>
            <w:rtl w:val="0"/>
          </w:rPr>
          <w:t xml:space="preserve">https://medium.com/@EleventhHourEnthusiast/paper-review-biolinkbert-572e1a7a69c8</w:t>
        </w:r>
      </w:hyperlink>
      <w:r w:rsidDel="00000000" w:rsidR="00000000" w:rsidRPr="00000000">
        <w:rPr>
          <w:rtl w:val="0"/>
        </w:rPr>
      </w:r>
    </w:p>
    <w:p w:rsidR="00000000" w:rsidDel="00000000" w:rsidP="00000000" w:rsidRDefault="00000000" w:rsidRPr="00000000" w14:paraId="0000026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LinkBERT: Pretraining Language Models with Document Links - arXiv, </w:t>
      </w:r>
      <w:hyperlink r:id="rId145">
        <w:r w:rsidDel="00000000" w:rsidR="00000000" w:rsidRPr="00000000">
          <w:rPr>
            <w:rFonts w:ascii="Google Sans" w:cs="Google Sans" w:eastAsia="Google Sans" w:hAnsi="Google Sans"/>
            <w:color w:val="0000ee"/>
            <w:sz w:val="24"/>
            <w:szCs w:val="24"/>
            <w:u w:val="single"/>
            <w:rtl w:val="0"/>
          </w:rPr>
          <w:t xml:space="preserve">https://arxiv.org/abs/2203.15827</w:t>
        </w:r>
      </w:hyperlink>
      <w:r w:rsidDel="00000000" w:rsidR="00000000" w:rsidRPr="00000000">
        <w:rPr>
          <w:rtl w:val="0"/>
        </w:rPr>
      </w:r>
    </w:p>
    <w:p w:rsidR="00000000" w:rsidDel="00000000" w:rsidP="00000000" w:rsidRDefault="00000000" w:rsidRPr="00000000" w14:paraId="0000026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model and its interpretability in biomedicine - PMC - NIH, </w:t>
      </w:r>
      <w:hyperlink r:id="rId146">
        <w:r w:rsidDel="00000000" w:rsidR="00000000" w:rsidRPr="00000000">
          <w:rPr>
            <w:rFonts w:ascii="Google Sans" w:cs="Google Sans" w:eastAsia="Google Sans" w:hAnsi="Google Sans"/>
            <w:color w:val="0000ee"/>
            <w:sz w:val="24"/>
            <w:szCs w:val="24"/>
            <w:u w:val="single"/>
            <w:rtl w:val="0"/>
          </w:rPr>
          <w:t xml:space="preserve">https://pmc.ncbi.nlm.nih.gov/articles/PMC10940999/</w:t>
        </w:r>
      </w:hyperlink>
      <w:r w:rsidDel="00000000" w:rsidR="00000000" w:rsidRPr="00000000">
        <w:rPr>
          <w:rtl w:val="0"/>
        </w:rPr>
      </w:r>
    </w:p>
    <w:p w:rsidR="00000000" w:rsidDel="00000000" w:rsidP="00000000" w:rsidRDefault="00000000" w:rsidRPr="00000000" w14:paraId="0000026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[2307.00589] MedCPT: Contrastive Pre-trained Transformers ... - arXiv, </w:t>
      </w:r>
      <w:hyperlink r:id="rId147">
        <w:r w:rsidDel="00000000" w:rsidR="00000000" w:rsidRPr="00000000">
          <w:rPr>
            <w:rFonts w:ascii="Google Sans" w:cs="Google Sans" w:eastAsia="Google Sans" w:hAnsi="Google Sans"/>
            <w:color w:val="0000ee"/>
            <w:sz w:val="24"/>
            <w:szCs w:val="24"/>
            <w:u w:val="single"/>
            <w:rtl w:val="0"/>
          </w:rPr>
          <w:t xml:space="preserve">https://arxiv.org/abs/2307.00589</w:t>
        </w:r>
      </w:hyperlink>
      <w:r w:rsidDel="00000000" w:rsidR="00000000" w:rsidRPr="00000000">
        <w:rPr>
          <w:rtl w:val="0"/>
        </w:rPr>
      </w:r>
    </w:p>
    <w:p w:rsidR="00000000" w:rsidDel="00000000" w:rsidP="00000000" w:rsidRDefault="00000000" w:rsidRPr="00000000" w14:paraId="0000026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Cosine Similarity Conflates Clinically Distinct Cancer Variants, </w:t>
      </w:r>
      <w:hyperlink r:id="rId148">
        <w:r w:rsidDel="00000000" w:rsidR="00000000" w:rsidRPr="00000000">
          <w:rPr>
            <w:rFonts w:ascii="Google Sans" w:cs="Google Sans" w:eastAsia="Google Sans" w:hAnsi="Google Sans"/>
            <w:color w:val="0000ee"/>
            <w:sz w:val="24"/>
            <w:szCs w:val="24"/>
            <w:u w:val="single"/>
            <w:rtl w:val="0"/>
          </w:rPr>
          <w:t xml:space="preserve">https://www.biorxiv.org/content/biorxiv/early/2026/05/11/2026.05.05.723102.full.pdf</w:t>
        </w:r>
      </w:hyperlink>
      <w:r w:rsidDel="00000000" w:rsidR="00000000" w:rsidRPr="00000000">
        <w:rPr>
          <w:rtl w:val="0"/>
        </w:rPr>
      </w:r>
    </w:p>
    <w:p w:rsidR="00000000" w:rsidDel="00000000" w:rsidP="00000000" w:rsidRDefault="00000000" w:rsidRPr="00000000" w14:paraId="0000026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medical reasoning through retrieval and self-reflection, </w:t>
      </w:r>
      <w:hyperlink r:id="rId149">
        <w:r w:rsidDel="00000000" w:rsidR="00000000" w:rsidRPr="00000000">
          <w:rPr>
            <w:rFonts w:ascii="Google Sans" w:cs="Google Sans" w:eastAsia="Google Sans" w:hAnsi="Google Sans"/>
            <w:color w:val="0000ee"/>
            <w:sz w:val="24"/>
            <w:szCs w:val="24"/>
            <w:u w:val="single"/>
            <w:rtl w:val="0"/>
          </w:rPr>
          <w:t xml:space="preserve">https://academic.oup.com/bioinformatics/article/40/Supplement_1/i119/7700892</w:t>
        </w:r>
      </w:hyperlink>
      <w:r w:rsidDel="00000000" w:rsidR="00000000" w:rsidRPr="00000000">
        <w:rPr>
          <w:rtl w:val="0"/>
        </w:rPr>
      </w:r>
    </w:p>
    <w:p w:rsidR="00000000" w:rsidDel="00000000" w:rsidP="00000000" w:rsidRDefault="00000000" w:rsidRPr="00000000" w14:paraId="00000265">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ChatGPT for biology and medicine: a complete review of, </w:t>
      </w:r>
      <w:hyperlink r:id="rId150">
        <w:r w:rsidDel="00000000" w:rsidR="00000000" w:rsidRPr="00000000">
          <w:rPr>
            <w:rFonts w:ascii="Google Sans" w:cs="Google Sans" w:eastAsia="Google Sans" w:hAnsi="Google Sans"/>
            <w:color w:val="0000ee"/>
            <w:sz w:val="24"/>
            <w:szCs w:val="24"/>
            <w:u w:val="single"/>
            <w:rtl w:val="0"/>
          </w:rPr>
          <w:t xml:space="preserve">https://www.sciopen.com/article/10.52601/bpr.2024.240004</w:t>
        </w:r>
      </w:hyperlink>
      <w:r w:rsidDel="00000000" w:rsidR="00000000" w:rsidRPr="00000000">
        <w:rPr>
          <w:rtl w:val="0"/>
        </w:rPr>
      </w:r>
    </w:p>
    <w:p w:rsidR="00000000" w:rsidDel="00000000" w:rsidP="00000000" w:rsidRDefault="00000000" w:rsidRPr="00000000" w14:paraId="0000026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large language model for electronic health records, </w:t>
      </w:r>
      <w:hyperlink r:id="rId151">
        <w:r w:rsidDel="00000000" w:rsidR="00000000" w:rsidRPr="00000000">
          <w:rPr>
            <w:rFonts w:ascii="Google Sans" w:cs="Google Sans" w:eastAsia="Google Sans" w:hAnsi="Google Sans"/>
            <w:color w:val="0000ee"/>
            <w:sz w:val="24"/>
            <w:szCs w:val="24"/>
            <w:u w:val="single"/>
            <w:rtl w:val="0"/>
          </w:rPr>
          <w:t xml:space="preserve">https://scholarworks.indianapolis.iu.edu/items/ab05e785-ab9b-460d-babb-11f879da895f</w:t>
        </w:r>
      </w:hyperlink>
      <w:r w:rsidDel="00000000" w:rsidR="00000000" w:rsidRPr="00000000">
        <w:rPr>
          <w:rtl w:val="0"/>
        </w:rPr>
      </w:r>
    </w:p>
    <w:p w:rsidR="00000000" w:rsidDel="00000000" w:rsidP="00000000" w:rsidRDefault="00000000" w:rsidRPr="00000000" w14:paraId="00000267">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GatorTron: A Large Clinical Language Model to Unlock Patient, </w:t>
      </w:r>
      <w:hyperlink r:id="rId152">
        <w:r w:rsidDel="00000000" w:rsidR="00000000" w:rsidRPr="00000000">
          <w:rPr>
            <w:rFonts w:ascii="Google Sans" w:cs="Google Sans" w:eastAsia="Google Sans" w:hAnsi="Google Sans"/>
            <w:color w:val="0000ee"/>
            <w:sz w:val="24"/>
            <w:szCs w:val="24"/>
            <w:u w:val="single"/>
            <w:rtl w:val="0"/>
          </w:rPr>
          <w:t xml:space="preserve">https://www.medrxiv.org/content/10.1101/2022.02.27.22271257v1.full.pdf</w:t>
        </w:r>
      </w:hyperlink>
      <w:r w:rsidDel="00000000" w:rsidR="00000000" w:rsidRPr="00000000">
        <w:rPr>
          <w:rtl w:val="0"/>
        </w:rPr>
      </w:r>
    </w:p>
    <w:p w:rsidR="00000000" w:rsidDel="00000000" w:rsidP="00000000" w:rsidRDefault="00000000" w:rsidRPr="00000000" w14:paraId="00000268">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GatorTron: A Large Language Model for Clinical Natural ... - medRxiv, </w:t>
      </w:r>
      <w:hyperlink r:id="rId153">
        <w:r w:rsidDel="00000000" w:rsidR="00000000" w:rsidRPr="00000000">
          <w:rPr>
            <w:rFonts w:ascii="Google Sans" w:cs="Google Sans" w:eastAsia="Google Sans" w:hAnsi="Google Sans"/>
            <w:color w:val="0000ee"/>
            <w:sz w:val="24"/>
            <w:szCs w:val="24"/>
            <w:u w:val="single"/>
            <w:rtl w:val="0"/>
          </w:rPr>
          <w:t xml:space="preserve">https://www.medrxiv.org/content/10.1101/2022.02.27.22271257.full</w:t>
        </w:r>
      </w:hyperlink>
      <w:r w:rsidDel="00000000" w:rsidR="00000000" w:rsidRPr="00000000">
        <w:rPr>
          <w:rtl w:val="0"/>
        </w:rPr>
      </w:r>
    </w:p>
    <w:p w:rsidR="00000000" w:rsidDel="00000000" w:rsidP="00000000" w:rsidRDefault="00000000" w:rsidRPr="00000000" w14:paraId="0000026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generative large language model for medical research, </w:t>
      </w:r>
      <w:hyperlink r:id="rId154">
        <w:r w:rsidDel="00000000" w:rsidR="00000000" w:rsidRPr="00000000">
          <w:rPr>
            <w:rFonts w:ascii="Google Sans" w:cs="Google Sans" w:eastAsia="Google Sans" w:hAnsi="Google Sans"/>
            <w:color w:val="0000ee"/>
            <w:sz w:val="24"/>
            <w:szCs w:val="24"/>
            <w:u w:val="single"/>
            <w:rtl w:val="0"/>
          </w:rPr>
          <w:t xml:space="preserve">https://www.researchgate.net/publication/375710323_A_study_of_generative_large_language_model_for_medical_research_and_healthcare</w:t>
        </w:r>
      </w:hyperlink>
      <w:r w:rsidDel="00000000" w:rsidR="00000000" w:rsidRPr="00000000">
        <w:rPr>
          <w:rtl w:val="0"/>
        </w:rPr>
      </w:r>
    </w:p>
    <w:p w:rsidR="00000000" w:rsidDel="00000000" w:rsidP="00000000" w:rsidRDefault="00000000" w:rsidRPr="00000000" w14:paraId="0000026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medical reasoning through retrieval and self-reflection, </w:t>
      </w:r>
      <w:hyperlink r:id="rId155">
        <w:r w:rsidDel="00000000" w:rsidR="00000000" w:rsidRPr="00000000">
          <w:rPr>
            <w:rFonts w:ascii="Google Sans" w:cs="Google Sans" w:eastAsia="Google Sans" w:hAnsi="Google Sans"/>
            <w:color w:val="0000ee"/>
            <w:sz w:val="24"/>
            <w:szCs w:val="24"/>
            <w:u w:val="single"/>
            <w:rtl w:val="0"/>
          </w:rPr>
          <w:t xml:space="preserve">https://pmc.ncbi.nlm.nih.gov/articles/PMC11211826/</w:t>
        </w:r>
      </w:hyperlink>
      <w:r w:rsidDel="00000000" w:rsidR="00000000" w:rsidRPr="00000000">
        <w:rPr>
          <w:rtl w:val="0"/>
        </w:rPr>
      </w:r>
    </w:p>
    <w:p w:rsidR="00000000" w:rsidDel="00000000" w:rsidP="00000000" w:rsidRDefault="00000000" w:rsidRPr="00000000" w14:paraId="0000026B">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CORRECTIVE RETRIEVAL AUGMENTED GENERATION, </w:t>
      </w:r>
      <w:hyperlink r:id="rId156">
        <w:r w:rsidDel="00000000" w:rsidR="00000000" w:rsidRPr="00000000">
          <w:rPr>
            <w:rFonts w:ascii="Google Sans" w:cs="Google Sans" w:eastAsia="Google Sans" w:hAnsi="Google Sans"/>
            <w:color w:val="0000ee"/>
            <w:sz w:val="24"/>
            <w:szCs w:val="24"/>
            <w:u w:val="single"/>
            <w:rtl w:val="0"/>
          </w:rPr>
          <w:t xml:space="preserve">https://openreview.net/pdf?id=JnWJbrnaUE</w:t>
        </w:r>
      </w:hyperlink>
      <w:r w:rsidDel="00000000" w:rsidR="00000000" w:rsidRPr="00000000">
        <w:rPr>
          <w:rtl w:val="0"/>
        </w:rPr>
      </w:r>
    </w:p>
    <w:p w:rsidR="00000000" w:rsidDel="00000000" w:rsidP="00000000" w:rsidRDefault="00000000" w:rsidRPr="00000000" w14:paraId="0000026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Retrieval-Augmented Generation Assistant for the MAIA Platform, </w:t>
      </w:r>
      <w:hyperlink r:id="rId157">
        <w:r w:rsidDel="00000000" w:rsidR="00000000" w:rsidRPr="00000000">
          <w:rPr>
            <w:rFonts w:ascii="Google Sans" w:cs="Google Sans" w:eastAsia="Google Sans" w:hAnsi="Google Sans"/>
            <w:color w:val="0000ee"/>
            <w:sz w:val="24"/>
            <w:szCs w:val="24"/>
            <w:u w:val="single"/>
            <w:rtl w:val="0"/>
          </w:rPr>
          <w:t xml:space="preserve">https://kth.diva-portal.org/smash/get/diva2:2097840/FULLTEXT01.pdf</w:t>
        </w:r>
      </w:hyperlink>
      <w:r w:rsidDel="00000000" w:rsidR="00000000" w:rsidRPr="00000000">
        <w:rPr>
          <w:rtl w:val="0"/>
        </w:rPr>
      </w:r>
    </w:p>
    <w:p w:rsidR="00000000" w:rsidDel="00000000" w:rsidP="00000000" w:rsidRDefault="00000000" w:rsidRPr="00000000" w14:paraId="0000026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Tiny-Critic RAG: Empowering Agentic Fallback with Parameter, </w:t>
      </w:r>
      <w:hyperlink r:id="rId158">
        <w:r w:rsidDel="00000000" w:rsidR="00000000" w:rsidRPr="00000000">
          <w:rPr>
            <w:rFonts w:ascii="Google Sans" w:cs="Google Sans" w:eastAsia="Google Sans" w:hAnsi="Google Sans"/>
            <w:color w:val="0000ee"/>
            <w:sz w:val="24"/>
            <w:szCs w:val="24"/>
            <w:u w:val="single"/>
            <w:rtl w:val="0"/>
          </w:rPr>
          <w:t xml:space="preserve">https://arxiv.org/html/2603.00846v1</w:t>
        </w:r>
      </w:hyperlink>
      <w:r w:rsidDel="00000000" w:rsidR="00000000" w:rsidRPr="00000000">
        <w:rPr>
          <w:rtl w:val="0"/>
        </w:rPr>
      </w:r>
    </w:p>
    <w:p w:rsidR="00000000" w:rsidDel="00000000" w:rsidP="00000000" w:rsidRDefault="00000000" w:rsidRPr="00000000" w14:paraId="0000026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Adaptive Multi-Agent Framework for Semantic-Aware Process, </w:t>
      </w:r>
      <w:hyperlink r:id="rId159">
        <w:r w:rsidDel="00000000" w:rsidR="00000000" w:rsidRPr="00000000">
          <w:rPr>
            <w:rFonts w:ascii="Google Sans" w:cs="Google Sans" w:eastAsia="Google Sans" w:hAnsi="Google Sans"/>
            <w:color w:val="0000ee"/>
            <w:sz w:val="24"/>
            <w:szCs w:val="24"/>
            <w:u w:val="single"/>
            <w:rtl w:val="0"/>
          </w:rPr>
          <w:t xml:space="preserve">https://opus.lib.uts.edu.au/rest/bitstreams/985cb6d9-9b31-4fc1-9912-2e7e38cbc8f7/retrieve</w:t>
        </w:r>
      </w:hyperlink>
      <w:r w:rsidDel="00000000" w:rsidR="00000000" w:rsidRPr="00000000">
        <w:rPr>
          <w:rtl w:val="0"/>
        </w:rPr>
      </w:r>
    </w:p>
    <w:p w:rsidR="00000000" w:rsidDel="00000000" w:rsidP="00000000" w:rsidRDefault="00000000" w:rsidRPr="00000000" w14:paraId="0000026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Retrieval-Augmented Generation - PMC - NIH, </w:t>
      </w:r>
      <w:hyperlink r:id="rId160">
        <w:r w:rsidDel="00000000" w:rsidR="00000000" w:rsidRPr="00000000">
          <w:rPr>
            <w:rFonts w:ascii="Google Sans" w:cs="Google Sans" w:eastAsia="Google Sans" w:hAnsi="Google Sans"/>
            <w:color w:val="0000ee"/>
            <w:sz w:val="24"/>
            <w:szCs w:val="24"/>
            <w:u w:val="single"/>
            <w:rtl w:val="0"/>
          </w:rPr>
          <w:t xml:space="preserve">https://pmc.ncbi.nlm.nih.gov/articles/PMC12684753/</w:t>
        </w:r>
      </w:hyperlink>
      <w:r w:rsidDel="00000000" w:rsidR="00000000" w:rsidRPr="00000000">
        <w:rPr>
          <w:rtl w:val="0"/>
        </w:rPr>
      </w:r>
    </w:p>
    <w:p w:rsidR="00000000" w:rsidDel="00000000" w:rsidP="00000000" w:rsidRDefault="00000000" w:rsidRPr="00000000" w14:paraId="0000027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[2401.15884] Corrective Retrieval Augmented Generation - arXiv, </w:t>
      </w:r>
      <w:hyperlink r:id="rId161">
        <w:r w:rsidDel="00000000" w:rsidR="00000000" w:rsidRPr="00000000">
          <w:rPr>
            <w:rFonts w:ascii="Google Sans" w:cs="Google Sans" w:eastAsia="Google Sans" w:hAnsi="Google Sans"/>
            <w:color w:val="0000ee"/>
            <w:sz w:val="24"/>
            <w:szCs w:val="24"/>
            <w:u w:val="single"/>
            <w:rtl w:val="0"/>
          </w:rPr>
          <w:t xml:space="preserve">https://arxiv.org/abs/2401.15884</w:t>
        </w:r>
      </w:hyperlink>
      <w:r w:rsidDel="00000000" w:rsidR="00000000" w:rsidRPr="00000000">
        <w:rPr>
          <w:rtl w:val="0"/>
        </w:rPr>
      </w:r>
    </w:p>
    <w:p w:rsidR="00000000" w:rsidDel="00000000" w:rsidP="00000000" w:rsidRDefault="00000000" w:rsidRPr="00000000" w14:paraId="0000027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Awesome-Context-Engineering/README.md at main - GitHub, </w:t>
      </w:r>
      <w:hyperlink r:id="rId162">
        <w:r w:rsidDel="00000000" w:rsidR="00000000" w:rsidRPr="00000000">
          <w:rPr>
            <w:rFonts w:ascii="Google Sans" w:cs="Google Sans" w:eastAsia="Google Sans" w:hAnsi="Google Sans"/>
            <w:color w:val="0000ee"/>
            <w:sz w:val="24"/>
            <w:szCs w:val="24"/>
            <w:u w:val="single"/>
            <w:rtl w:val="0"/>
          </w:rPr>
          <w:t xml:space="preserve">https://github.com/Meirtz/Awesome-Context-Engineering/blob/main/README.md</w:t>
        </w:r>
      </w:hyperlink>
      <w:r w:rsidDel="00000000" w:rsidR="00000000" w:rsidRPr="00000000">
        <w:rPr>
          <w:rtl w:val="0"/>
        </w:rPr>
      </w:r>
    </w:p>
    <w:p w:rsidR="00000000" w:rsidDel="00000000" w:rsidP="00000000" w:rsidRDefault="00000000" w:rsidRPr="00000000" w14:paraId="0000027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on Technical Documents - Impact of Knowledge Graph, </w:t>
      </w:r>
      <w:hyperlink r:id="rId163">
        <w:r w:rsidDel="00000000" w:rsidR="00000000" w:rsidRPr="00000000">
          <w:rPr>
            <w:rFonts w:ascii="Google Sans" w:cs="Google Sans" w:eastAsia="Google Sans" w:hAnsi="Google Sans"/>
            <w:color w:val="0000ee"/>
            <w:sz w:val="24"/>
            <w:szCs w:val="24"/>
            <w:u w:val="single"/>
            <w:rtl w:val="0"/>
          </w:rPr>
          <w:t xml:space="preserve">https://drops.dagstuhl.de/entities/document/10.4230/TGDK.3.2.3</w:t>
        </w:r>
      </w:hyperlink>
      <w:r w:rsidDel="00000000" w:rsidR="00000000" w:rsidRPr="00000000">
        <w:rPr>
          <w:rtl w:val="0"/>
        </w:rPr>
      </w:r>
    </w:p>
    <w:p w:rsidR="00000000" w:rsidDel="00000000" w:rsidP="00000000" w:rsidRDefault="00000000" w:rsidRPr="00000000" w14:paraId="0000027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Graph RAG Approach to Query-Focused Summarization - arXiv, </w:t>
      </w:r>
      <w:hyperlink r:id="rId164">
        <w:r w:rsidDel="00000000" w:rsidR="00000000" w:rsidRPr="00000000">
          <w:rPr>
            <w:rFonts w:ascii="Google Sans" w:cs="Google Sans" w:eastAsia="Google Sans" w:hAnsi="Google Sans"/>
            <w:color w:val="0000ee"/>
            <w:sz w:val="24"/>
            <w:szCs w:val="24"/>
            <w:u w:val="single"/>
            <w:rtl w:val="0"/>
          </w:rPr>
          <w:t xml:space="preserve">https://arxiv.org/html/2404.16130v1</w:t>
        </w:r>
      </w:hyperlink>
      <w:r w:rsidDel="00000000" w:rsidR="00000000" w:rsidRPr="00000000">
        <w:rPr>
          <w:rtl w:val="0"/>
        </w:rPr>
      </w:r>
    </w:p>
    <w:p w:rsidR="00000000" w:rsidDel="00000000" w:rsidP="00000000" w:rsidRDefault="00000000" w:rsidRPr="00000000" w14:paraId="0000027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Graph RAG Approach to Query-Focused Summarization - arXiv, </w:t>
      </w:r>
      <w:hyperlink r:id="rId165">
        <w:r w:rsidDel="00000000" w:rsidR="00000000" w:rsidRPr="00000000">
          <w:rPr>
            <w:rFonts w:ascii="Google Sans" w:cs="Google Sans" w:eastAsia="Google Sans" w:hAnsi="Google Sans"/>
            <w:color w:val="0000ee"/>
            <w:sz w:val="24"/>
            <w:szCs w:val="24"/>
            <w:u w:val="single"/>
            <w:rtl w:val="0"/>
          </w:rPr>
          <w:t xml:space="preserve">https://arxiv.org/abs/2404.16130</w:t>
        </w:r>
      </w:hyperlink>
      <w:r w:rsidDel="00000000" w:rsidR="00000000" w:rsidRPr="00000000">
        <w:rPr>
          <w:rtl w:val="0"/>
        </w:rPr>
      </w:r>
    </w:p>
    <w:p w:rsidR="00000000" w:rsidDel="00000000" w:rsidP="00000000" w:rsidRDefault="00000000" w:rsidRPr="00000000" w14:paraId="00000275">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Graph RAG inspired approach to extract Taxonomies ... - FOIS 2026, </w:t>
      </w:r>
      <w:hyperlink r:id="rId166">
        <w:r w:rsidDel="00000000" w:rsidR="00000000" w:rsidRPr="00000000">
          <w:rPr>
            <w:rFonts w:ascii="Google Sans" w:cs="Google Sans" w:eastAsia="Google Sans" w:hAnsi="Google Sans"/>
            <w:color w:val="0000ee"/>
            <w:sz w:val="24"/>
            <w:szCs w:val="24"/>
            <w:u w:val="single"/>
            <w:rtl w:val="0"/>
          </w:rPr>
          <w:t xml:space="preserve">https://foisconference.org/assets/pdfs/jowo/fomi-1.pdf</w:t>
        </w:r>
      </w:hyperlink>
      <w:r w:rsidDel="00000000" w:rsidR="00000000" w:rsidRPr="00000000">
        <w:rPr>
          <w:rtl w:val="0"/>
        </w:rPr>
      </w:r>
    </w:p>
    <w:p w:rsidR="00000000" w:rsidDel="00000000" w:rsidP="00000000" w:rsidRDefault="00000000" w:rsidRPr="00000000" w14:paraId="0000027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Graph RAG Approach to Query-Focused Summarization, </w:t>
      </w:r>
      <w:hyperlink r:id="rId167">
        <w:r w:rsidDel="00000000" w:rsidR="00000000" w:rsidRPr="00000000">
          <w:rPr>
            <w:rFonts w:ascii="Google Sans" w:cs="Google Sans" w:eastAsia="Google Sans" w:hAnsi="Google Sans"/>
            <w:color w:val="0000ee"/>
            <w:sz w:val="24"/>
            <w:szCs w:val="24"/>
            <w:u w:val="single"/>
            <w:rtl w:val="0"/>
          </w:rPr>
          <w:t xml:space="preserve">https://www.semanticscholar.org/paper/From-Local-to-Global%3A-A-Graph-RAG-Approach-to-Edge-Trinh/c1799bf28d1ae93e1631be5b59196ee1e568f538</w:t>
        </w:r>
      </w:hyperlink>
      <w:r w:rsidDel="00000000" w:rsidR="00000000" w:rsidRPr="00000000">
        <w:rPr>
          <w:rtl w:val="0"/>
        </w:rPr>
      </w:r>
    </w:p>
    <w:p w:rsidR="00000000" w:rsidDel="00000000" w:rsidP="00000000" w:rsidRDefault="00000000" w:rsidRPr="00000000" w14:paraId="00000277">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Multi-Step GraphRAG Engine with a Compact Domain-Adapted LLM, </w:t>
      </w:r>
      <w:hyperlink r:id="rId168">
        <w:r w:rsidDel="00000000" w:rsidR="00000000" w:rsidRPr="00000000">
          <w:rPr>
            <w:rFonts w:ascii="Google Sans" w:cs="Google Sans" w:eastAsia="Google Sans" w:hAnsi="Google Sans"/>
            <w:color w:val="0000ee"/>
            <w:sz w:val="24"/>
            <w:szCs w:val="24"/>
            <w:u w:val="single"/>
            <w:rtl w:val="0"/>
          </w:rPr>
          <w:t xml:space="preserve">https://baba9811.github.io/en/papers/0033-ragu-a-multi-step-graphrag-engine-with-a-compact-domain-adap/</w:t>
        </w:r>
      </w:hyperlink>
      <w:r w:rsidDel="00000000" w:rsidR="00000000" w:rsidRPr="00000000">
        <w:rPr>
          <w:rtl w:val="0"/>
        </w:rPr>
      </w:r>
    </w:p>
    <w:p w:rsidR="00000000" w:rsidDel="00000000" w:rsidP="00000000" w:rsidRDefault="00000000" w:rsidRPr="00000000" w14:paraId="00000278">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KAT-GNN: A Knowledge-Augmented Temporal Graph Neural ... - arXiv, </w:t>
      </w:r>
      <w:hyperlink r:id="rId169">
        <w:r w:rsidDel="00000000" w:rsidR="00000000" w:rsidRPr="00000000">
          <w:rPr>
            <w:rFonts w:ascii="Google Sans" w:cs="Google Sans" w:eastAsia="Google Sans" w:hAnsi="Google Sans"/>
            <w:color w:val="0000ee"/>
            <w:sz w:val="24"/>
            <w:szCs w:val="24"/>
            <w:u w:val="single"/>
            <w:rtl w:val="0"/>
          </w:rPr>
          <w:t xml:space="preserve">https://arxiv.org/html/2511.01249v1</w:t>
        </w:r>
      </w:hyperlink>
      <w:r w:rsidDel="00000000" w:rsidR="00000000" w:rsidRPr="00000000">
        <w:rPr>
          <w:rtl w:val="0"/>
        </w:rPr>
      </w:r>
    </w:p>
    <w:p w:rsidR="00000000" w:rsidDel="00000000" w:rsidP="00000000" w:rsidRDefault="00000000" w:rsidRPr="00000000" w14:paraId="0000027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KAT-GNN: A Knowledge-Augmented Temporal Graph Neural ... - arXiv, </w:t>
      </w:r>
      <w:hyperlink r:id="rId170">
        <w:r w:rsidDel="00000000" w:rsidR="00000000" w:rsidRPr="00000000">
          <w:rPr>
            <w:rFonts w:ascii="Google Sans" w:cs="Google Sans" w:eastAsia="Google Sans" w:hAnsi="Google Sans"/>
            <w:color w:val="0000ee"/>
            <w:sz w:val="24"/>
            <w:szCs w:val="24"/>
            <w:u w:val="single"/>
            <w:rtl w:val="0"/>
          </w:rPr>
          <w:t xml:space="preserve">https://arxiv.org/pdf/2511.01249</w:t>
        </w:r>
      </w:hyperlink>
      <w:r w:rsidDel="00000000" w:rsidR="00000000" w:rsidRPr="00000000">
        <w:rPr>
          <w:rtl w:val="0"/>
        </w:rPr>
      </w:r>
    </w:p>
    <w:p w:rsidR="00000000" w:rsidDel="00000000" w:rsidP="00000000" w:rsidRDefault="00000000" w:rsidRPr="00000000" w14:paraId="0000027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Knowledge-Augmented Temporal Graph Neural Network for Risk, </w:t>
      </w:r>
      <w:hyperlink r:id="rId171">
        <w:r w:rsidDel="00000000" w:rsidR="00000000" w:rsidRPr="00000000">
          <w:rPr>
            <w:rFonts w:ascii="Google Sans" w:cs="Google Sans" w:eastAsia="Google Sans" w:hAnsi="Google Sans"/>
            <w:color w:val="0000ee"/>
            <w:sz w:val="24"/>
            <w:szCs w:val="24"/>
            <w:u w:val="single"/>
            <w:rtl w:val="0"/>
          </w:rPr>
          <w:t xml:space="preserve">https://www.researchgate.net/publication/397231112_KAT-GNN_A_Knowledge-Augmented_Temporal_Graph_Neural_Network_for_Risk_Prediction_in_Electronic_Health_Records</w:t>
        </w:r>
      </w:hyperlink>
      <w:r w:rsidDel="00000000" w:rsidR="00000000" w:rsidRPr="00000000">
        <w:rPr>
          <w:rtl w:val="0"/>
        </w:rPr>
      </w:r>
    </w:p>
    <w:p w:rsidR="00000000" w:rsidDel="00000000" w:rsidP="00000000" w:rsidRDefault="00000000" w:rsidRPr="00000000" w14:paraId="0000027B">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Risk Prediction with Temporally and Contextually Grounded, </w:t>
      </w:r>
      <w:hyperlink r:id="rId172">
        <w:r w:rsidDel="00000000" w:rsidR="00000000" w:rsidRPr="00000000">
          <w:rPr>
            <w:rFonts w:ascii="Google Sans" w:cs="Google Sans" w:eastAsia="Google Sans" w:hAnsi="Google Sans"/>
            <w:color w:val="0000ee"/>
            <w:sz w:val="24"/>
            <w:szCs w:val="24"/>
            <w:u w:val="single"/>
            <w:rtl w:val="0"/>
          </w:rPr>
          <w:t xml:space="preserve">https://direct.mit.edu/tacl/article-pdf/doi/10.1162/TACL.a.748/2612379/tacl.a.748.pdf</w:t>
        </w:r>
      </w:hyperlink>
      <w:r w:rsidDel="00000000" w:rsidR="00000000" w:rsidRPr="00000000">
        <w:rPr>
          <w:rtl w:val="0"/>
        </w:rPr>
      </w:r>
    </w:p>
    <w:p w:rsidR="00000000" w:rsidDel="00000000" w:rsidP="00000000" w:rsidRDefault="00000000" w:rsidRPr="00000000" w14:paraId="0000027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Risk Prediction with Temporally and Contextually Grounded, </w:t>
      </w:r>
      <w:hyperlink r:id="rId173">
        <w:r w:rsidDel="00000000" w:rsidR="00000000" w:rsidRPr="00000000">
          <w:rPr>
            <w:rFonts w:ascii="Google Sans" w:cs="Google Sans" w:eastAsia="Google Sans" w:hAnsi="Google Sans"/>
            <w:color w:val="0000ee"/>
            <w:sz w:val="24"/>
            <w:szCs w:val="24"/>
            <w:u w:val="single"/>
            <w:rtl w:val="0"/>
          </w:rPr>
          <w:t xml:space="preserve">https://arxiv.org/abs/2511.22038</w:t>
        </w:r>
      </w:hyperlink>
      <w:r w:rsidDel="00000000" w:rsidR="00000000" w:rsidRPr="00000000">
        <w:rPr>
          <w:rtl w:val="0"/>
        </w:rPr>
      </w:r>
    </w:p>
    <w:p w:rsidR="00000000" w:rsidDel="00000000" w:rsidP="00000000" w:rsidRDefault="00000000" w:rsidRPr="00000000" w14:paraId="0000027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Disclosure Limitation Review - Health and Retirement Study, </w:t>
      </w:r>
      <w:hyperlink r:id="rId174">
        <w:r w:rsidDel="00000000" w:rsidR="00000000" w:rsidRPr="00000000">
          <w:rPr>
            <w:rFonts w:ascii="Google Sans" w:cs="Google Sans" w:eastAsia="Google Sans" w:hAnsi="Google Sans"/>
            <w:color w:val="0000ee"/>
            <w:sz w:val="24"/>
            <w:szCs w:val="24"/>
            <w:u w:val="single"/>
            <w:rtl w:val="0"/>
          </w:rPr>
          <w:t xml:space="preserve">https://hrs.isr.umich.edu/data-products/restricted-data/disclosure-limitation-review</w:t>
        </w:r>
      </w:hyperlink>
      <w:r w:rsidDel="00000000" w:rsidR="00000000" w:rsidRPr="00000000">
        <w:rPr>
          <w:rtl w:val="0"/>
        </w:rPr>
      </w:r>
    </w:p>
    <w:p w:rsidR="00000000" w:rsidDel="00000000" w:rsidP="00000000" w:rsidRDefault="00000000" w:rsidRPr="00000000" w14:paraId="0000027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21 CFR Part 11 Audit Trails: Definition, Requirements, and, </w:t>
      </w:r>
      <w:hyperlink r:id="rId175">
        <w:r w:rsidDel="00000000" w:rsidR="00000000" w:rsidRPr="00000000">
          <w:rPr>
            <w:rFonts w:ascii="Google Sans" w:cs="Google Sans" w:eastAsia="Google Sans" w:hAnsi="Google Sans"/>
            <w:color w:val="0000ee"/>
            <w:sz w:val="24"/>
            <w:szCs w:val="24"/>
            <w:u w:val="single"/>
            <w:rtl w:val="0"/>
          </w:rPr>
          <w:t xml:space="preserve">https://simplerqms.com/21-cfr-part-11-audit-trail/</w:t>
        </w:r>
      </w:hyperlink>
      <w:r w:rsidDel="00000000" w:rsidR="00000000" w:rsidRPr="00000000">
        <w:rPr>
          <w:rtl w:val="0"/>
        </w:rPr>
      </w:r>
    </w:p>
    <w:p w:rsidR="00000000" w:rsidDel="00000000" w:rsidP="00000000" w:rsidRDefault="00000000" w:rsidRPr="00000000" w14:paraId="0000027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CFR Part 11 Compliance Checklist For FDA-Regulated Industries, </w:t>
      </w:r>
      <w:hyperlink r:id="rId176">
        <w:r w:rsidDel="00000000" w:rsidR="00000000" w:rsidRPr="00000000">
          <w:rPr>
            <w:rFonts w:ascii="Google Sans" w:cs="Google Sans" w:eastAsia="Google Sans" w:hAnsi="Google Sans"/>
            <w:color w:val="0000ee"/>
            <w:sz w:val="24"/>
            <w:szCs w:val="24"/>
            <w:u w:val="single"/>
            <w:rtl w:val="0"/>
          </w:rPr>
          <w:t xml:space="preserve">https://kivo.io/news/21-cfr-part-11-compliance-checklist</w:t>
        </w:r>
      </w:hyperlink>
      <w:r w:rsidDel="00000000" w:rsidR="00000000" w:rsidRPr="00000000">
        <w:rPr>
          <w:rtl w:val="0"/>
        </w:rPr>
      </w:r>
    </w:p>
    <w:p w:rsidR="00000000" w:rsidDel="00000000" w:rsidP="00000000" w:rsidRDefault="00000000" w:rsidRPr="00000000" w14:paraId="0000028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CFR Part 11 - MasterControl, </w:t>
      </w:r>
      <w:hyperlink r:id="rId177">
        <w:r w:rsidDel="00000000" w:rsidR="00000000" w:rsidRPr="00000000">
          <w:rPr>
            <w:rFonts w:ascii="Google Sans" w:cs="Google Sans" w:eastAsia="Google Sans" w:hAnsi="Google Sans"/>
            <w:color w:val="0000ee"/>
            <w:sz w:val="24"/>
            <w:szCs w:val="24"/>
            <w:u w:val="single"/>
            <w:rtl w:val="0"/>
          </w:rPr>
          <w:t xml:space="preserve">https://www.mastercontrol.com/glossary-page/21-cfr-part-11/</w:t>
        </w:r>
      </w:hyperlink>
      <w:r w:rsidDel="00000000" w:rsidR="00000000" w:rsidRPr="00000000">
        <w:rPr>
          <w:rtl w:val="0"/>
        </w:rPr>
      </w:r>
    </w:p>
    <w:p w:rsidR="00000000" w:rsidDel="00000000" w:rsidP="00000000" w:rsidRDefault="00000000" w:rsidRPr="00000000" w14:paraId="0000028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CFR Part 11 -- Electronic Records; Electronic Signatures - eCFR, </w:t>
      </w:r>
      <w:hyperlink r:id="rId178">
        <w:r w:rsidDel="00000000" w:rsidR="00000000" w:rsidRPr="00000000">
          <w:rPr>
            <w:rFonts w:ascii="Google Sans" w:cs="Google Sans" w:eastAsia="Google Sans" w:hAnsi="Google Sans"/>
            <w:color w:val="0000ee"/>
            <w:sz w:val="24"/>
            <w:szCs w:val="24"/>
            <w:u w:val="single"/>
            <w:rtl w:val="0"/>
          </w:rPr>
          <w:t xml:space="preserve">https://www.ecfr.gov/current/title-21/chapter-I/subchapter-A/part-11</w:t>
        </w:r>
      </w:hyperlink>
      <w:r w:rsidDel="00000000" w:rsidR="00000000" w:rsidRPr="00000000">
        <w:rPr>
          <w:rtl w:val="0"/>
        </w:rPr>
      </w:r>
    </w:p>
    <w:p w:rsidR="00000000" w:rsidDel="00000000" w:rsidP="00000000" w:rsidRDefault="00000000" w:rsidRPr="00000000" w14:paraId="0000028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CFR 11.10(e): Audit Trails - Ofni Systems, </w:t>
      </w:r>
      <w:hyperlink r:id="rId179">
        <w:r w:rsidDel="00000000" w:rsidR="00000000" w:rsidRPr="00000000">
          <w:rPr>
            <w:rFonts w:ascii="Google Sans" w:cs="Google Sans" w:eastAsia="Google Sans" w:hAnsi="Google Sans"/>
            <w:color w:val="0000ee"/>
            <w:sz w:val="24"/>
            <w:szCs w:val="24"/>
            <w:u w:val="single"/>
            <w:rtl w:val="0"/>
          </w:rPr>
          <w:t xml:space="preserve">https://www.ofnisystems.com/21-cfr-11-10e-audit-trails/</w:t>
        </w:r>
      </w:hyperlink>
      <w:r w:rsidDel="00000000" w:rsidR="00000000" w:rsidRPr="00000000">
        <w:rPr>
          <w:rtl w:val="0"/>
        </w:rPr>
      </w:r>
    </w:p>
    <w:p w:rsidR="00000000" w:rsidDel="00000000" w:rsidP="00000000" w:rsidRDefault="00000000" w:rsidRPr="00000000" w14:paraId="0000028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CFR Part 11 Applicability and Compliance - US Validation Services, </w:t>
      </w:r>
      <w:hyperlink r:id="rId180">
        <w:r w:rsidDel="00000000" w:rsidR="00000000" w:rsidRPr="00000000">
          <w:rPr>
            <w:rFonts w:ascii="Google Sans" w:cs="Google Sans" w:eastAsia="Google Sans" w:hAnsi="Google Sans"/>
            <w:color w:val="0000ee"/>
            <w:sz w:val="24"/>
            <w:szCs w:val="24"/>
            <w:u w:val="single"/>
            <w:rtl w:val="0"/>
          </w:rPr>
          <w:t xml:space="preserve">https://usvalidation.com/kb_article/part11-compliance/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4.png"/><Relationship Id="rId41" Type="http://schemas.openxmlformats.org/officeDocument/2006/relationships/image" Target="media/image9.png"/><Relationship Id="rId44" Type="http://schemas.openxmlformats.org/officeDocument/2006/relationships/image" Target="media/image27.png"/><Relationship Id="rId43" Type="http://schemas.openxmlformats.org/officeDocument/2006/relationships/image" Target="media/image31.png"/><Relationship Id="rId46" Type="http://schemas.openxmlformats.org/officeDocument/2006/relationships/image" Target="media/image3.png"/><Relationship Id="rId45" Type="http://schemas.openxmlformats.org/officeDocument/2006/relationships/image" Target="media/image8.png"/><Relationship Id="rId107" Type="http://schemas.openxmlformats.org/officeDocument/2006/relationships/image" Target="media/image70.png"/><Relationship Id="rId106" Type="http://schemas.openxmlformats.org/officeDocument/2006/relationships/image" Target="media/image71.png"/><Relationship Id="rId105" Type="http://schemas.openxmlformats.org/officeDocument/2006/relationships/image" Target="media/image102.png"/><Relationship Id="rId104" Type="http://schemas.openxmlformats.org/officeDocument/2006/relationships/image" Target="media/image80.png"/><Relationship Id="rId109" Type="http://schemas.openxmlformats.org/officeDocument/2006/relationships/image" Target="media/image72.png"/><Relationship Id="rId108" Type="http://schemas.openxmlformats.org/officeDocument/2006/relationships/image" Target="media/image40.png"/><Relationship Id="rId48" Type="http://schemas.openxmlformats.org/officeDocument/2006/relationships/image" Target="media/image7.png"/><Relationship Id="rId47" Type="http://schemas.openxmlformats.org/officeDocument/2006/relationships/image" Target="media/image10.png"/><Relationship Id="rId49" Type="http://schemas.openxmlformats.org/officeDocument/2006/relationships/image" Target="media/image24.png"/><Relationship Id="rId103" Type="http://schemas.openxmlformats.org/officeDocument/2006/relationships/image" Target="media/image84.png"/><Relationship Id="rId102" Type="http://schemas.openxmlformats.org/officeDocument/2006/relationships/image" Target="media/image90.png"/><Relationship Id="rId101" Type="http://schemas.openxmlformats.org/officeDocument/2006/relationships/image" Target="media/image105.png"/><Relationship Id="rId100" Type="http://schemas.openxmlformats.org/officeDocument/2006/relationships/image" Target="media/image87.png"/><Relationship Id="rId31" Type="http://schemas.openxmlformats.org/officeDocument/2006/relationships/image" Target="media/image101.png"/><Relationship Id="rId30" Type="http://schemas.openxmlformats.org/officeDocument/2006/relationships/image" Target="media/image123.png"/><Relationship Id="rId33" Type="http://schemas.openxmlformats.org/officeDocument/2006/relationships/image" Target="media/image111.png"/><Relationship Id="rId32" Type="http://schemas.openxmlformats.org/officeDocument/2006/relationships/image" Target="media/image98.png"/><Relationship Id="rId35" Type="http://schemas.openxmlformats.org/officeDocument/2006/relationships/image" Target="media/image54.png"/><Relationship Id="rId34" Type="http://schemas.openxmlformats.org/officeDocument/2006/relationships/image" Target="media/image97.png"/><Relationship Id="rId180" Type="http://schemas.openxmlformats.org/officeDocument/2006/relationships/hyperlink" Target="https://usvalidation.com/kb_article/part11-compliance/" TargetMode="External"/><Relationship Id="rId37" Type="http://schemas.openxmlformats.org/officeDocument/2006/relationships/image" Target="media/image14.png"/><Relationship Id="rId176" Type="http://schemas.openxmlformats.org/officeDocument/2006/relationships/hyperlink" Target="https://kivo.io/news/21-cfr-part-11-compliance-checklist" TargetMode="External"/><Relationship Id="rId36" Type="http://schemas.openxmlformats.org/officeDocument/2006/relationships/image" Target="media/image13.png"/><Relationship Id="rId175" Type="http://schemas.openxmlformats.org/officeDocument/2006/relationships/hyperlink" Target="https://simplerqms.com/21-cfr-part-11-audit-trail/" TargetMode="External"/><Relationship Id="rId39" Type="http://schemas.openxmlformats.org/officeDocument/2006/relationships/image" Target="media/image19.png"/><Relationship Id="rId174" Type="http://schemas.openxmlformats.org/officeDocument/2006/relationships/hyperlink" Target="https://hrs.isr.umich.edu/data-products/restricted-data/disclosure-limitation-review" TargetMode="External"/><Relationship Id="rId38" Type="http://schemas.openxmlformats.org/officeDocument/2006/relationships/image" Target="media/image11.png"/><Relationship Id="rId173" Type="http://schemas.openxmlformats.org/officeDocument/2006/relationships/hyperlink" Target="https://arxiv.org/abs/2511.22038" TargetMode="External"/><Relationship Id="rId179" Type="http://schemas.openxmlformats.org/officeDocument/2006/relationships/hyperlink" Target="https://www.ofnisystems.com/21-cfr-11-10e-audit-trails/" TargetMode="External"/><Relationship Id="rId178" Type="http://schemas.openxmlformats.org/officeDocument/2006/relationships/hyperlink" Target="https://www.ecfr.gov/current/title-21/chapter-I/subchapter-A/part-11" TargetMode="External"/><Relationship Id="rId177" Type="http://schemas.openxmlformats.org/officeDocument/2006/relationships/hyperlink" Target="https://www.mastercontrol.com/glossary-page/21-cfr-part-11/" TargetMode="External"/><Relationship Id="rId20" Type="http://schemas.openxmlformats.org/officeDocument/2006/relationships/image" Target="media/image5.png"/><Relationship Id="rId22" Type="http://schemas.openxmlformats.org/officeDocument/2006/relationships/image" Target="media/image117.png"/><Relationship Id="rId21" Type="http://schemas.openxmlformats.org/officeDocument/2006/relationships/image" Target="media/image120.png"/><Relationship Id="rId24" Type="http://schemas.openxmlformats.org/officeDocument/2006/relationships/image" Target="media/image118.png"/><Relationship Id="rId23" Type="http://schemas.openxmlformats.org/officeDocument/2006/relationships/image" Target="media/image109.png"/><Relationship Id="rId129" Type="http://schemas.openxmlformats.org/officeDocument/2006/relationships/image" Target="media/image64.png"/><Relationship Id="rId128" Type="http://schemas.openxmlformats.org/officeDocument/2006/relationships/image" Target="media/image20.png"/><Relationship Id="rId127" Type="http://schemas.openxmlformats.org/officeDocument/2006/relationships/image" Target="media/image28.png"/><Relationship Id="rId126" Type="http://schemas.openxmlformats.org/officeDocument/2006/relationships/image" Target="media/image60.png"/><Relationship Id="rId26" Type="http://schemas.openxmlformats.org/officeDocument/2006/relationships/image" Target="media/image93.png"/><Relationship Id="rId121" Type="http://schemas.openxmlformats.org/officeDocument/2006/relationships/image" Target="media/image73.png"/><Relationship Id="rId25" Type="http://schemas.openxmlformats.org/officeDocument/2006/relationships/image" Target="media/image113.png"/><Relationship Id="rId120" Type="http://schemas.openxmlformats.org/officeDocument/2006/relationships/image" Target="media/image92.png"/><Relationship Id="rId28" Type="http://schemas.openxmlformats.org/officeDocument/2006/relationships/image" Target="media/image95.png"/><Relationship Id="rId27" Type="http://schemas.openxmlformats.org/officeDocument/2006/relationships/image" Target="media/image89.png"/><Relationship Id="rId125" Type="http://schemas.openxmlformats.org/officeDocument/2006/relationships/image" Target="media/image69.png"/><Relationship Id="rId29" Type="http://schemas.openxmlformats.org/officeDocument/2006/relationships/image" Target="media/image94.png"/><Relationship Id="rId124" Type="http://schemas.openxmlformats.org/officeDocument/2006/relationships/image" Target="media/image65.png"/><Relationship Id="rId123" Type="http://schemas.openxmlformats.org/officeDocument/2006/relationships/image" Target="media/image57.png"/><Relationship Id="rId122" Type="http://schemas.openxmlformats.org/officeDocument/2006/relationships/image" Target="media/image51.png"/><Relationship Id="rId95" Type="http://schemas.openxmlformats.org/officeDocument/2006/relationships/image" Target="media/image115.png"/><Relationship Id="rId94" Type="http://schemas.openxmlformats.org/officeDocument/2006/relationships/image" Target="media/image79.png"/><Relationship Id="rId97" Type="http://schemas.openxmlformats.org/officeDocument/2006/relationships/image" Target="media/image86.png"/><Relationship Id="rId96" Type="http://schemas.openxmlformats.org/officeDocument/2006/relationships/image" Target="media/image81.png"/><Relationship Id="rId11" Type="http://schemas.openxmlformats.org/officeDocument/2006/relationships/image" Target="media/image100.png"/><Relationship Id="rId99" Type="http://schemas.openxmlformats.org/officeDocument/2006/relationships/image" Target="media/image88.png"/><Relationship Id="rId10" Type="http://schemas.openxmlformats.org/officeDocument/2006/relationships/image" Target="media/image17.png"/><Relationship Id="rId98" Type="http://schemas.openxmlformats.org/officeDocument/2006/relationships/image" Target="media/image103.png"/><Relationship Id="rId13" Type="http://schemas.openxmlformats.org/officeDocument/2006/relationships/image" Target="media/image112.png"/><Relationship Id="rId12" Type="http://schemas.openxmlformats.org/officeDocument/2006/relationships/image" Target="media/image32.png"/><Relationship Id="rId91" Type="http://schemas.openxmlformats.org/officeDocument/2006/relationships/image" Target="media/image59.png"/><Relationship Id="rId90" Type="http://schemas.openxmlformats.org/officeDocument/2006/relationships/image" Target="media/image35.png"/><Relationship Id="rId93" Type="http://schemas.openxmlformats.org/officeDocument/2006/relationships/image" Target="media/image76.png"/><Relationship Id="rId92" Type="http://schemas.openxmlformats.org/officeDocument/2006/relationships/image" Target="media/image78.png"/><Relationship Id="rId118" Type="http://schemas.openxmlformats.org/officeDocument/2006/relationships/image" Target="media/image99.png"/><Relationship Id="rId117" Type="http://schemas.openxmlformats.org/officeDocument/2006/relationships/image" Target="media/image121.png"/><Relationship Id="rId116" Type="http://schemas.openxmlformats.org/officeDocument/2006/relationships/image" Target="media/image110.png"/><Relationship Id="rId115" Type="http://schemas.openxmlformats.org/officeDocument/2006/relationships/image" Target="media/image67.png"/><Relationship Id="rId119" Type="http://schemas.openxmlformats.org/officeDocument/2006/relationships/image" Target="media/image82.png"/><Relationship Id="rId15" Type="http://schemas.openxmlformats.org/officeDocument/2006/relationships/image" Target="media/image106.png"/><Relationship Id="rId110" Type="http://schemas.openxmlformats.org/officeDocument/2006/relationships/image" Target="media/image85.png"/><Relationship Id="rId14" Type="http://schemas.openxmlformats.org/officeDocument/2006/relationships/image" Target="media/image116.png"/><Relationship Id="rId17" Type="http://schemas.openxmlformats.org/officeDocument/2006/relationships/image" Target="media/image119.png"/><Relationship Id="rId16" Type="http://schemas.openxmlformats.org/officeDocument/2006/relationships/image" Target="media/image83.png"/><Relationship Id="rId19" Type="http://schemas.openxmlformats.org/officeDocument/2006/relationships/image" Target="media/image108.png"/><Relationship Id="rId114" Type="http://schemas.openxmlformats.org/officeDocument/2006/relationships/image" Target="media/image96.png"/><Relationship Id="rId18" Type="http://schemas.openxmlformats.org/officeDocument/2006/relationships/image" Target="media/image124.png"/><Relationship Id="rId113" Type="http://schemas.openxmlformats.org/officeDocument/2006/relationships/image" Target="media/image66.png"/><Relationship Id="rId112" Type="http://schemas.openxmlformats.org/officeDocument/2006/relationships/image" Target="media/image68.png"/><Relationship Id="rId111" Type="http://schemas.openxmlformats.org/officeDocument/2006/relationships/image" Target="media/image77.png"/><Relationship Id="rId84" Type="http://schemas.openxmlformats.org/officeDocument/2006/relationships/image" Target="media/image42.png"/><Relationship Id="rId83" Type="http://schemas.openxmlformats.org/officeDocument/2006/relationships/image" Target="media/image46.png"/><Relationship Id="rId86" Type="http://schemas.openxmlformats.org/officeDocument/2006/relationships/image" Target="media/image50.png"/><Relationship Id="rId85" Type="http://schemas.openxmlformats.org/officeDocument/2006/relationships/image" Target="media/image91.png"/><Relationship Id="rId88" Type="http://schemas.openxmlformats.org/officeDocument/2006/relationships/image" Target="media/image37.png"/><Relationship Id="rId150" Type="http://schemas.openxmlformats.org/officeDocument/2006/relationships/hyperlink" Target="https://www.sciopen.com/article/10.52601/bpr.2024.240004" TargetMode="External"/><Relationship Id="rId87" Type="http://schemas.openxmlformats.org/officeDocument/2006/relationships/image" Target="media/image55.png"/><Relationship Id="rId89" Type="http://schemas.openxmlformats.org/officeDocument/2006/relationships/image" Target="media/image49.png"/><Relationship Id="rId80" Type="http://schemas.openxmlformats.org/officeDocument/2006/relationships/image" Target="media/image41.png"/><Relationship Id="rId82" Type="http://schemas.openxmlformats.org/officeDocument/2006/relationships/image" Target="media/image56.png"/><Relationship Id="rId81" Type="http://schemas.openxmlformats.org/officeDocument/2006/relationships/image" Target="media/image7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cademic.oup.com/bioinformatics/article/40/Supplement_1/i119/7700892" TargetMode="External"/><Relationship Id="rId4" Type="http://schemas.openxmlformats.org/officeDocument/2006/relationships/numbering" Target="numbering.xml"/><Relationship Id="rId148" Type="http://schemas.openxmlformats.org/officeDocument/2006/relationships/hyperlink" Target="https://www.biorxiv.org/content/biorxiv/early/2026/05/11/2026.05.05.723102.full.pdf" TargetMode="External"/><Relationship Id="rId9" Type="http://schemas.openxmlformats.org/officeDocument/2006/relationships/image" Target="media/image122.png"/><Relationship Id="rId143" Type="http://schemas.openxmlformats.org/officeDocument/2006/relationships/hyperlink" Target="https://pmc.ncbi.nlm.nih.gov/articles/PMC10627406/" TargetMode="External"/><Relationship Id="rId142" Type="http://schemas.openxmlformats.org/officeDocument/2006/relationships/hyperlink" Target="https://www.researchgate.net/publication/375418804_MedCPT_Contrastive_Pre-trained_Transformers_with_large-scale_PubMed_search_logs_for_zero-shot_biomedical_information_retrieval" TargetMode="External"/><Relationship Id="rId141" Type="http://schemas.openxmlformats.org/officeDocument/2006/relationships/hyperlink" Target="https://pmc.ncbi.nlm.nih.gov/articles/PMC12478430/" TargetMode="External"/><Relationship Id="rId140" Type="http://schemas.openxmlformats.org/officeDocument/2006/relationships/hyperlink" Target="https://pmc.ncbi.nlm.nih.gov/articles/PMC11514179/" TargetMode="External"/><Relationship Id="rId5" Type="http://schemas.openxmlformats.org/officeDocument/2006/relationships/styles" Target="styles.xml"/><Relationship Id="rId147" Type="http://schemas.openxmlformats.org/officeDocument/2006/relationships/hyperlink" Target="https://arxiv.org/abs/2307.00589" TargetMode="External"/><Relationship Id="rId6" Type="http://schemas.openxmlformats.org/officeDocument/2006/relationships/image" Target="media/image104.png"/><Relationship Id="rId146" Type="http://schemas.openxmlformats.org/officeDocument/2006/relationships/hyperlink" Target="https://pmc.ncbi.nlm.nih.gov/articles/PMC10940999/" TargetMode="External"/><Relationship Id="rId7" Type="http://schemas.openxmlformats.org/officeDocument/2006/relationships/image" Target="media/image107.png"/><Relationship Id="rId145" Type="http://schemas.openxmlformats.org/officeDocument/2006/relationships/hyperlink" Target="https://arxiv.org/abs/2203.15827" TargetMode="External"/><Relationship Id="rId8" Type="http://schemas.openxmlformats.org/officeDocument/2006/relationships/image" Target="media/image114.png"/><Relationship Id="rId144" Type="http://schemas.openxmlformats.org/officeDocument/2006/relationships/hyperlink" Target="https://medium.com/@EleventhHourEnthusiast/paper-review-biolinkbert-572e1a7a69c8" TargetMode="External"/><Relationship Id="rId73" Type="http://schemas.openxmlformats.org/officeDocument/2006/relationships/image" Target="media/image15.png"/><Relationship Id="rId72" Type="http://schemas.openxmlformats.org/officeDocument/2006/relationships/image" Target="media/image53.png"/><Relationship Id="rId75" Type="http://schemas.openxmlformats.org/officeDocument/2006/relationships/image" Target="media/image58.png"/><Relationship Id="rId74" Type="http://schemas.openxmlformats.org/officeDocument/2006/relationships/image" Target="media/image74.png"/><Relationship Id="rId77" Type="http://schemas.openxmlformats.org/officeDocument/2006/relationships/image" Target="media/image61.png"/><Relationship Id="rId76" Type="http://schemas.openxmlformats.org/officeDocument/2006/relationships/image" Target="media/image62.png"/><Relationship Id="rId79" Type="http://schemas.openxmlformats.org/officeDocument/2006/relationships/image" Target="media/image44.png"/><Relationship Id="rId78" Type="http://schemas.openxmlformats.org/officeDocument/2006/relationships/image" Target="media/image63.png"/><Relationship Id="rId71" Type="http://schemas.openxmlformats.org/officeDocument/2006/relationships/image" Target="media/image39.png"/><Relationship Id="rId70" Type="http://schemas.openxmlformats.org/officeDocument/2006/relationships/image" Target="media/image21.png"/><Relationship Id="rId139" Type="http://schemas.openxmlformats.org/officeDocument/2006/relationships/hyperlink" Target="https://arxiv.org/html/2305.09235" TargetMode="External"/><Relationship Id="rId138" Type="http://schemas.openxmlformats.org/officeDocument/2006/relationships/hyperlink" Target="https://openreview.net/pdf/281965eb1983f06f4499694fcd7437cd01512326.pdf" TargetMode="External"/><Relationship Id="rId137" Type="http://schemas.openxmlformats.org/officeDocument/2006/relationships/hyperlink" Target="https://arxiv.org/abs/2209.15421" TargetMode="External"/><Relationship Id="rId132" Type="http://schemas.openxmlformats.org/officeDocument/2006/relationships/hyperlink" Target="https://www.fda.gov/files/drugs/published/Responding-to-Unsolicited-Requests-for-Off-Label-Information-About-Prescription-Drugs-and-Medical-Devices.pdf" TargetMode="External"/><Relationship Id="rId131" Type="http://schemas.openxmlformats.org/officeDocument/2006/relationships/hyperlink" Target="https://h1.com/blog/blog-2019-1-25-complying-with-msl-regulations/" TargetMode="External"/><Relationship Id="rId130" Type="http://schemas.openxmlformats.org/officeDocument/2006/relationships/hyperlink" Target="https://kendallpc.com/msl-sales-collaboration-compliance/" TargetMode="External"/><Relationship Id="rId136" Type="http://schemas.openxmlformats.org/officeDocument/2006/relationships/hyperlink" Target="https://www.researchgate.net/publication/381960222_Diffusion_Models_for_Tabular_Data_Imputation_and_Synthetic_Data_Generation" TargetMode="External"/><Relationship Id="rId135" Type="http://schemas.openxmlformats.org/officeDocument/2006/relationships/hyperlink" Target="https://www.fdli.org/wp-content/uploads/2021/11/Faget-Kyle.pdf" TargetMode="External"/><Relationship Id="rId134" Type="http://schemas.openxmlformats.org/officeDocument/2006/relationships/hyperlink" Target="https://globalforum.diaglobal.org/issue/july-2024/how-to-communicate-unapproved-uses-without-breaking-the-law/" TargetMode="External"/><Relationship Id="rId133" Type="http://schemas.openxmlformats.org/officeDocument/2006/relationships/hyperlink" Target="https://intuitionlabs.ai/articles/off-label-promotion-msl-compliance-guide" TargetMode="External"/><Relationship Id="rId62" Type="http://schemas.openxmlformats.org/officeDocument/2006/relationships/image" Target="media/image38.png"/><Relationship Id="rId61" Type="http://schemas.openxmlformats.org/officeDocument/2006/relationships/image" Target="media/image26.png"/><Relationship Id="rId64" Type="http://schemas.openxmlformats.org/officeDocument/2006/relationships/image" Target="media/image23.png"/><Relationship Id="rId63" Type="http://schemas.openxmlformats.org/officeDocument/2006/relationships/image" Target="media/image48.png"/><Relationship Id="rId66" Type="http://schemas.openxmlformats.org/officeDocument/2006/relationships/image" Target="media/image29.png"/><Relationship Id="rId172" Type="http://schemas.openxmlformats.org/officeDocument/2006/relationships/hyperlink" Target="https://direct.mit.edu/tacl/article-pdf/doi/10.1162/TACL.a.748/2612379/tacl.a.748.pdf" TargetMode="External"/><Relationship Id="rId65" Type="http://schemas.openxmlformats.org/officeDocument/2006/relationships/image" Target="media/image16.png"/><Relationship Id="rId171" Type="http://schemas.openxmlformats.org/officeDocument/2006/relationships/hyperlink" Target="https://www.researchgate.net/publication/397231112_KAT-GNN_A_Knowledge-Augmented_Temporal_Graph_Neural_Network_for_Risk_Prediction_in_Electronic_Health_Records" TargetMode="External"/><Relationship Id="rId68" Type="http://schemas.openxmlformats.org/officeDocument/2006/relationships/image" Target="media/image36.png"/><Relationship Id="rId170" Type="http://schemas.openxmlformats.org/officeDocument/2006/relationships/hyperlink" Target="https://arxiv.org/pdf/2511.01249" TargetMode="External"/><Relationship Id="rId67" Type="http://schemas.openxmlformats.org/officeDocument/2006/relationships/image" Target="media/image34.png"/><Relationship Id="rId60" Type="http://schemas.openxmlformats.org/officeDocument/2006/relationships/image" Target="media/image45.png"/><Relationship Id="rId165" Type="http://schemas.openxmlformats.org/officeDocument/2006/relationships/hyperlink" Target="https://arxiv.org/abs/2404.16130" TargetMode="External"/><Relationship Id="rId69" Type="http://schemas.openxmlformats.org/officeDocument/2006/relationships/image" Target="media/image18.png"/><Relationship Id="rId164" Type="http://schemas.openxmlformats.org/officeDocument/2006/relationships/hyperlink" Target="https://arxiv.org/html/2404.16130v1" TargetMode="External"/><Relationship Id="rId163" Type="http://schemas.openxmlformats.org/officeDocument/2006/relationships/hyperlink" Target="https://drops.dagstuhl.de/entities/document/10.4230/TGDK.3.2.3" TargetMode="External"/><Relationship Id="rId162" Type="http://schemas.openxmlformats.org/officeDocument/2006/relationships/hyperlink" Target="https://github.com/Meirtz/Awesome-Context-Engineering/blob/main/README.md" TargetMode="External"/><Relationship Id="rId169" Type="http://schemas.openxmlformats.org/officeDocument/2006/relationships/hyperlink" Target="https://arxiv.org/html/2511.01249v1" TargetMode="External"/><Relationship Id="rId168" Type="http://schemas.openxmlformats.org/officeDocument/2006/relationships/hyperlink" Target="https://baba9811.github.io/en/papers/0033-ragu-a-multi-step-graphrag-engine-with-a-compact-domain-adap/" TargetMode="External"/><Relationship Id="rId167" Type="http://schemas.openxmlformats.org/officeDocument/2006/relationships/hyperlink" Target="https://www.semanticscholar.org/paper/From-Local-to-Global%3A-A-Graph-RAG-Approach-to-Edge-Trinh/c1799bf28d1ae93e1631be5b59196ee1e568f538" TargetMode="External"/><Relationship Id="rId166" Type="http://schemas.openxmlformats.org/officeDocument/2006/relationships/hyperlink" Target="https://foisconference.org/assets/pdfs/jowo/fomi-1.pdf" TargetMode="External"/><Relationship Id="rId51" Type="http://schemas.openxmlformats.org/officeDocument/2006/relationships/image" Target="media/image6.png"/><Relationship Id="rId50" Type="http://schemas.openxmlformats.org/officeDocument/2006/relationships/image" Target="media/image47.png"/><Relationship Id="rId53" Type="http://schemas.openxmlformats.org/officeDocument/2006/relationships/image" Target="media/image1.png"/><Relationship Id="rId52" Type="http://schemas.openxmlformats.org/officeDocument/2006/relationships/image" Target="media/image22.png"/><Relationship Id="rId55" Type="http://schemas.openxmlformats.org/officeDocument/2006/relationships/image" Target="media/image33.png"/><Relationship Id="rId161" Type="http://schemas.openxmlformats.org/officeDocument/2006/relationships/hyperlink" Target="https://arxiv.org/abs/2401.15884" TargetMode="External"/><Relationship Id="rId54" Type="http://schemas.openxmlformats.org/officeDocument/2006/relationships/image" Target="media/image12.png"/><Relationship Id="rId160" Type="http://schemas.openxmlformats.org/officeDocument/2006/relationships/hyperlink" Target="https://pmc.ncbi.nlm.nih.gov/articles/PMC12684753/" TargetMode="External"/><Relationship Id="rId57" Type="http://schemas.openxmlformats.org/officeDocument/2006/relationships/image" Target="media/image25.png"/><Relationship Id="rId56" Type="http://schemas.openxmlformats.org/officeDocument/2006/relationships/image" Target="media/image43.png"/><Relationship Id="rId159" Type="http://schemas.openxmlformats.org/officeDocument/2006/relationships/hyperlink" Target="https://opus.lib.uts.edu.au/rest/bitstreams/985cb6d9-9b31-4fc1-9912-2e7e38cbc8f7/retrieve" TargetMode="External"/><Relationship Id="rId59" Type="http://schemas.openxmlformats.org/officeDocument/2006/relationships/image" Target="media/image30.png"/><Relationship Id="rId154" Type="http://schemas.openxmlformats.org/officeDocument/2006/relationships/hyperlink" Target="https://www.researchgate.net/publication/375710323_A_study_of_generative_large_language_model_for_medical_research_and_healthcare" TargetMode="External"/><Relationship Id="rId58" Type="http://schemas.openxmlformats.org/officeDocument/2006/relationships/image" Target="media/image52.png"/><Relationship Id="rId153" Type="http://schemas.openxmlformats.org/officeDocument/2006/relationships/hyperlink" Target="https://www.medrxiv.org/content/10.1101/2022.02.27.22271257.full" TargetMode="External"/><Relationship Id="rId152" Type="http://schemas.openxmlformats.org/officeDocument/2006/relationships/hyperlink" Target="https://www.medrxiv.org/content/10.1101/2022.02.27.22271257v1.full.pdf" TargetMode="External"/><Relationship Id="rId151" Type="http://schemas.openxmlformats.org/officeDocument/2006/relationships/hyperlink" Target="https://scholarworks.indianapolis.iu.edu/items/ab05e785-ab9b-460d-babb-11f879da895f" TargetMode="External"/><Relationship Id="rId158" Type="http://schemas.openxmlformats.org/officeDocument/2006/relationships/hyperlink" Target="https://arxiv.org/html/2603.00846v1" TargetMode="External"/><Relationship Id="rId157" Type="http://schemas.openxmlformats.org/officeDocument/2006/relationships/hyperlink" Target="https://kth.diva-portal.org/smash/get/diva2:2097840/FULLTEXT01.pdf" TargetMode="External"/><Relationship Id="rId156" Type="http://schemas.openxmlformats.org/officeDocument/2006/relationships/hyperlink" Target="https://openreview.net/pdf?id=JnWJbrnaUE" TargetMode="External"/><Relationship Id="rId155" Type="http://schemas.openxmlformats.org/officeDocument/2006/relationships/hyperlink" Target="https://pmc.ncbi.nlm.nih.gov/articles/PMC112118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