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3E31BF"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3E31BF"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3E31BF"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3E31BF"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3E31BF"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198F4C7B"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w:t>
      </w:r>
      <w:proofErr w:type="gramStart"/>
      <w:r w:rsidR="002202CE">
        <w:rPr>
          <w:szCs w:val="20"/>
        </w:rPr>
        <w:t xml:space="preserve">value </w:t>
      </w:r>
      <w:proofErr w:type="gramEnd"/>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B97591">
        <w:rPr>
          <w:szCs w:val="20"/>
        </w:rPr>
        <w:t xml:space="preserve">, the value at the best throughput point of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w:t>
      </w:r>
      <w:proofErr w:type="gramStart"/>
      <w:r>
        <w:rPr>
          <w:rFonts w:hint="eastAsia"/>
          <w:szCs w:val="20"/>
        </w:rPr>
        <w:t>can</w:t>
      </w:r>
      <w:proofErr w:type="gramEnd"/>
      <w:r>
        <w:rPr>
          <w:rFonts w:hint="eastAsia"/>
          <w:szCs w:val="20"/>
        </w:rPr>
        <w:t xml:space="preserve">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4A062302"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w:t>
      </w:r>
      <w:bookmarkStart w:id="1" w:name="_GoBack"/>
      <w:bookmarkEnd w:id="1"/>
      <w:r w:rsidR="00E14B38">
        <w:rPr>
          <w:szCs w:val="20"/>
        </w:rPr>
        <w:t>The programming language is Python 3.7.4, and used</w:t>
      </w:r>
      <w:r w:rsidR="009F3136">
        <w:rPr>
          <w:szCs w:val="20"/>
        </w:rPr>
        <w:t xml:space="preserve"> </w:t>
      </w:r>
      <w:proofErr w:type="spellStart"/>
      <w:r w:rsidR="009F3136">
        <w:rPr>
          <w:szCs w:val="20"/>
        </w:rPr>
        <w:t>NumPy</w:t>
      </w:r>
      <w:proofErr w:type="spellEnd"/>
      <w:r w:rsidR="0080677E">
        <w:rPr>
          <w:szCs w:val="20"/>
        </w:rPr>
        <w:t xml:space="preserve"> </w:t>
      </w:r>
      <w:r w:rsidR="0080677E" w:rsidRPr="003E31BF">
        <w:rPr>
          <w:b/>
          <w:szCs w:val="20"/>
        </w:rPr>
        <w:t>[5]</w:t>
      </w:r>
      <w:r w:rsidR="009F3136">
        <w:rPr>
          <w:szCs w:val="20"/>
        </w:rPr>
        <w:t xml:space="preserve">, </w:t>
      </w:r>
      <w:proofErr w:type="spellStart"/>
      <w:r w:rsidR="009F3136">
        <w:rPr>
          <w:szCs w:val="20"/>
        </w:rPr>
        <w:t>Tensorflow</w:t>
      </w:r>
      <w:proofErr w:type="spellEnd"/>
      <w:r w:rsidR="009F3136">
        <w:rPr>
          <w:szCs w:val="20"/>
        </w:rPr>
        <w:t xml:space="preserve"> </w:t>
      </w:r>
      <w:r w:rsidR="0080677E" w:rsidRPr="003E31BF">
        <w:rPr>
          <w:b/>
          <w:szCs w:val="20"/>
        </w:rPr>
        <w:t>[6]</w:t>
      </w:r>
      <w:r w:rsidR="0080677E">
        <w:rPr>
          <w:szCs w:val="20"/>
        </w:rPr>
        <w:t xml:space="preserve"> </w:t>
      </w:r>
      <w:r w:rsidR="009F3136">
        <w:rPr>
          <w:szCs w:val="20"/>
        </w:rPr>
        <w:t xml:space="preserve">and </w:t>
      </w:r>
      <w:proofErr w:type="spellStart"/>
      <w:r w:rsidR="009F3136">
        <w:rPr>
          <w:szCs w:val="20"/>
        </w:rPr>
        <w:t>Keras</w:t>
      </w:r>
      <w:proofErr w:type="spellEnd"/>
      <w:r w:rsidR="0080677E">
        <w:rPr>
          <w:szCs w:val="20"/>
        </w:rPr>
        <w:t xml:space="preserve"> </w:t>
      </w:r>
      <w:r w:rsidR="009F3136">
        <w:rPr>
          <w:szCs w:val="20"/>
        </w:rPr>
        <w:t xml:space="preserve">as </w:t>
      </w:r>
      <w:r w:rsidR="00E14B38">
        <w:rPr>
          <w:szCs w:val="20"/>
        </w:rPr>
        <w:t>libraries.</w:t>
      </w:r>
      <w:r w:rsidR="00FD745B">
        <w:rPr>
          <w:szCs w:val="20"/>
        </w:rPr>
        <w:t xml:space="preserve"> You can download the experiment code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0E73FB29"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=2.2, 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proofErr w:type="gramStart"/>
      <w:r w:rsidR="00D602B3">
        <w:rPr>
          <w:szCs w:val="20"/>
        </w:rPr>
        <w:t xml:space="preserve">with </w:t>
      </w:r>
      <w:proofErr w:type="gramEnd"/>
      <m:oMath>
        <m:r>
          <w:rPr>
            <w:rFonts w:ascii="Cambria Math" w:hAnsi="Cambria Math"/>
            <w:szCs w:val="20"/>
          </w:rPr>
          <m:t>π=3.141592654</m:t>
        </m:r>
      </m:oMath>
      <w:r w:rsidR="00D529B5" w:rsidRPr="00D529B5">
        <w:rPr>
          <w:rFonts w:hint="eastAsia"/>
          <w:szCs w:val="20"/>
        </w:rPr>
        <w:t>,</w:t>
      </w:r>
      <w:r w:rsidR="002E45A6">
        <w:rPr>
          <w:szCs w:val="20"/>
        </w:rPr>
        <w:t xml:space="preserve"> </w:t>
      </w:r>
      <m:oMath>
        <m:r>
          <w:rPr>
            <w:rFonts w:ascii="Cambria Math" w:hAnsi="Cambria Math"/>
            <w:szCs w:val="20"/>
          </w:rPr>
          <m:t>δ</m:t>
        </m:r>
        <m:r>
          <m:rPr>
            <m:sty m:val="p"/>
          </m:rPr>
          <w:rPr>
            <w:rFonts w:ascii="Cambria Math" w:hAnsi="Cambria Math"/>
            <w:szCs w:val="20"/>
          </w:rPr>
          <m:t>=20</m:t>
        </m:r>
      </m:oMath>
      <w:r w:rsidR="002E45A6">
        <w:rPr>
          <w:szCs w:val="20"/>
        </w:rPr>
        <w:t xml:space="preserve"> and </w:t>
      </w:r>
      <m:oMath>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2E45A6">
        <w:rPr>
          <w:rFonts w:hint="eastAsia"/>
          <w:szCs w:val="20"/>
        </w:rPr>
        <w:t xml:space="preserve"> 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3DD6295C" w14:textId="1B243511" w:rsidR="001C532A" w:rsidRPr="00C90C7B" w:rsidRDefault="00304366" w:rsidP="00FF7FA3">
      <w:pPr>
        <w:rPr>
          <w:szCs w:val="20"/>
        </w:rPr>
      </w:pPr>
      <w:r>
        <w:rPr>
          <w:noProof/>
        </w:rPr>
        <w:lastRenderedPageBreak/>
        <w:drawing>
          <wp:anchor distT="0" distB="0" distL="114300" distR="114300" simplePos="0" relativeHeight="251665408" behindDoc="0" locked="0" layoutInCell="1" allowOverlap="1" wp14:anchorId="0A12F4A2" wp14:editId="57147FE7">
            <wp:simplePos x="0" y="0"/>
            <wp:positionH relativeFrom="margin">
              <wp:align>right</wp:align>
            </wp:positionH>
            <wp:positionV relativeFrom="paragraph">
              <wp:posOffset>2945765</wp:posOffset>
            </wp:positionV>
            <wp:extent cx="5731510" cy="26009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anchor>
        </w:drawing>
      </w:r>
      <w:r w:rsidR="005034C6">
        <w:rPr>
          <w:noProof/>
        </w:rPr>
        <w:drawing>
          <wp:anchor distT="0" distB="0" distL="114300" distR="114300" simplePos="0" relativeHeight="251664384" behindDoc="0" locked="0" layoutInCell="1" allowOverlap="1" wp14:anchorId="1A91558A" wp14:editId="6CE7933F">
            <wp:simplePos x="0" y="0"/>
            <wp:positionH relativeFrom="margin">
              <wp:align>right</wp:align>
            </wp:positionH>
            <wp:positionV relativeFrom="paragraph">
              <wp:posOffset>0</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B201EA">
        <w:rPr>
          <w:rFonts w:hint="eastAsia"/>
          <w:b/>
          <w:szCs w:val="20"/>
        </w:rPr>
        <w:t>4</w:t>
      </w:r>
      <w:r w:rsidR="001C532A">
        <w:rPr>
          <w:rFonts w:hint="eastAsia"/>
          <w:b/>
          <w:szCs w:val="20"/>
        </w:rPr>
        <w:t>. Conclusion</w:t>
      </w:r>
    </w:p>
    <w:p w14:paraId="5BFD808B" w14:textId="68B5D0EA"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Although our method may 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lastRenderedPageBreak/>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243CA584" w:rsidR="006630D5" w:rsidRDefault="00CE3934" w:rsidP="00FF7FA3">
      <w:pPr>
        <w:rPr>
          <w:rStyle w:val="Hyperlink"/>
        </w:rPr>
      </w:pPr>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p w14:paraId="45A675A5" w14:textId="2E3F715A" w:rsidR="003E31BF" w:rsidRDefault="003E31BF" w:rsidP="00FF7FA3">
      <w:pPr>
        <w:rPr>
          <w:rStyle w:val="Hyperlink"/>
          <w:color w:val="auto"/>
          <w:u w:val="none"/>
        </w:rPr>
      </w:pPr>
      <w:r w:rsidRPr="003E31BF">
        <w:rPr>
          <w:rStyle w:val="Hyperlink"/>
          <w:b/>
          <w:color w:val="auto"/>
          <w:u w:val="none"/>
        </w:rPr>
        <w:t>[5]</w:t>
      </w:r>
      <w:r>
        <w:rPr>
          <w:rStyle w:val="Hyperlink"/>
          <w:color w:val="auto"/>
          <w:u w:val="none"/>
        </w:rPr>
        <w:t xml:space="preserve"> IEEE, “</w:t>
      </w:r>
      <w:r>
        <w:t xml:space="preserve">The </w:t>
      </w:r>
      <w:proofErr w:type="spellStart"/>
      <w:r>
        <w:t>NumPy</w:t>
      </w:r>
      <w:proofErr w:type="spellEnd"/>
      <w:r>
        <w:t xml:space="preserve"> Array: A Structure for Efficient Numerical Computation</w:t>
      </w:r>
      <w:r>
        <w:t xml:space="preserve">”, Scientific Python, available online at </w:t>
      </w:r>
      <w:hyperlink r:id="rId22" w:history="1">
        <w:r>
          <w:rPr>
            <w:rStyle w:val="Hyperlink"/>
          </w:rPr>
          <w:t>https://ieeexplore.ieee.org/stamp/stamp.jsp?tp=&amp;arnumber=5725236</w:t>
        </w:r>
      </w:hyperlink>
    </w:p>
    <w:p w14:paraId="4AEB1FC4" w14:textId="5F4B4032" w:rsidR="003E31BF" w:rsidRPr="003E31BF" w:rsidRDefault="003E31BF" w:rsidP="00FF7FA3">
      <w:pPr>
        <w:rPr>
          <w:rFonts w:hint="eastAsia"/>
        </w:rPr>
      </w:pPr>
      <w:r w:rsidRPr="003E31BF">
        <w:rPr>
          <w:rStyle w:val="Hyperlink"/>
          <w:b/>
          <w:color w:val="auto"/>
          <w:u w:val="none"/>
        </w:rPr>
        <w:t>[6]</w:t>
      </w:r>
      <w:r>
        <w:rPr>
          <w:rStyle w:val="Hyperlink"/>
          <w:color w:val="auto"/>
          <w:u w:val="none"/>
        </w:rPr>
        <w:t xml:space="preserve"> </w:t>
      </w:r>
      <w:proofErr w:type="spellStart"/>
      <w:r>
        <w:t>Mart´ın</w:t>
      </w:r>
      <w:proofErr w:type="spellEnd"/>
      <w:r>
        <w:t xml:space="preserve"> </w:t>
      </w:r>
      <w:proofErr w:type="spellStart"/>
      <w:r>
        <w:t>Abadi</w:t>
      </w:r>
      <w:proofErr w:type="spellEnd"/>
      <w:r>
        <w:t xml:space="preserve">, Paul Barham, </w:t>
      </w:r>
      <w:proofErr w:type="spellStart"/>
      <w:r>
        <w:t>Jianmin</w:t>
      </w:r>
      <w:proofErr w:type="spellEnd"/>
      <w:r>
        <w:t xml:space="preserve"> Chen</w:t>
      </w:r>
      <w:r>
        <w:t xml:space="preserve"> et al, “</w:t>
      </w:r>
      <w:proofErr w:type="spellStart"/>
      <w:r>
        <w:t>TensorFlow</w:t>
      </w:r>
      <w:proofErr w:type="spellEnd"/>
      <w:r>
        <w:t>: A system for large-scale machine learning</w:t>
      </w:r>
      <w:r>
        <w:t xml:space="preserve">”, Google Brain, available online at </w:t>
      </w:r>
      <w:hyperlink r:id="rId23" w:history="1">
        <w:r>
          <w:rPr>
            <w:rStyle w:val="Hyperlink"/>
          </w:rPr>
          <w:t>https://www.usenix.org/system/files/conference/osdi16/osdi16-abadi.pdf</w:t>
        </w:r>
      </w:hyperlink>
    </w:p>
    <w:sectPr w:rsidR="003E31BF" w:rsidRPr="003E31BF"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55D5D"/>
    <w:rsid w:val="000616AB"/>
    <w:rsid w:val="00062981"/>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2BDA"/>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F2C6E"/>
    <w:rsid w:val="002F2E2C"/>
    <w:rsid w:val="002F3767"/>
    <w:rsid w:val="002F78A2"/>
    <w:rsid w:val="00300BC7"/>
    <w:rsid w:val="00302AAA"/>
    <w:rsid w:val="00302E6F"/>
    <w:rsid w:val="00303288"/>
    <w:rsid w:val="00304366"/>
    <w:rsid w:val="003050B0"/>
    <w:rsid w:val="00305B69"/>
    <w:rsid w:val="00306844"/>
    <w:rsid w:val="00310184"/>
    <w:rsid w:val="00315C30"/>
    <w:rsid w:val="003206B2"/>
    <w:rsid w:val="00323161"/>
    <w:rsid w:val="00332E22"/>
    <w:rsid w:val="00332E87"/>
    <w:rsid w:val="0033328A"/>
    <w:rsid w:val="00333CC5"/>
    <w:rsid w:val="003407E1"/>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31BF"/>
    <w:rsid w:val="003E6F83"/>
    <w:rsid w:val="003F1093"/>
    <w:rsid w:val="003F5126"/>
    <w:rsid w:val="00401D63"/>
    <w:rsid w:val="00403ED4"/>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148"/>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ABA"/>
    <w:rsid w:val="005D4BE8"/>
    <w:rsid w:val="005E002C"/>
    <w:rsid w:val="005E016B"/>
    <w:rsid w:val="005E05D7"/>
    <w:rsid w:val="005E198A"/>
    <w:rsid w:val="005E27FF"/>
    <w:rsid w:val="005E48F8"/>
    <w:rsid w:val="005E4EED"/>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063A"/>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4C57"/>
    <w:rsid w:val="00687511"/>
    <w:rsid w:val="00692DA8"/>
    <w:rsid w:val="0069496A"/>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677E"/>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5FB0"/>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A6420"/>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4D71"/>
    <w:rsid w:val="00B86770"/>
    <w:rsid w:val="00B8747B"/>
    <w:rsid w:val="00B95867"/>
    <w:rsid w:val="00B95D5A"/>
    <w:rsid w:val="00B96678"/>
    <w:rsid w:val="00B97591"/>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1E40"/>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29B5"/>
    <w:rsid w:val="00D5507F"/>
    <w:rsid w:val="00D55575"/>
    <w:rsid w:val="00D55DBB"/>
    <w:rsid w:val="00D602B3"/>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2793"/>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1867"/>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07173"/>
    <w:rsid w:val="00F0729C"/>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313C"/>
    <w:rsid w:val="00F9442D"/>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usenix.org/system/files/conference/osdi16/osdi16-abadi.pdf" TargetMode="Externa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hyperlink" Target="https://ieeexplore.ieee.org/stamp/stamp.jsp?tp=&amp;arnumber=572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25503-0E4C-4D0C-A693-673978C7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1280</cp:revision>
  <dcterms:created xsi:type="dcterms:W3CDTF">2020-06-01T04:56:00Z</dcterms:created>
  <dcterms:modified xsi:type="dcterms:W3CDTF">2020-07-13T05:55:00Z</dcterms:modified>
</cp:coreProperties>
</file>