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63C1D">
      <w:pPr>
        <w:ind w:firstLine="0" w:firstLineChars="0"/>
        <w:jc w:val="center"/>
        <w:rPr>
          <w:rFonts w:ascii="黑体" w:hAnsi="黑体" w:eastAsia="黑体"/>
          <w:sz w:val="32"/>
          <w:szCs w:val="32"/>
        </w:rPr>
      </w:pPr>
      <w:r>
        <w:rPr>
          <w:rFonts w:hint="eastAsia" w:ascii="黑体" w:hAnsi="黑体" w:eastAsia="黑体"/>
          <w:sz w:val="32"/>
          <w:szCs w:val="32"/>
        </w:rPr>
        <w:t>不同 SOC 区间快充策略与电池寿命研究</w:t>
      </w:r>
    </w:p>
    <w:p w14:paraId="13007CFD">
      <w:pPr>
        <w:ind w:firstLine="0" w:firstLineChars="0"/>
        <w:jc w:val="center"/>
        <w:rPr>
          <w:rFonts w:ascii="黑体" w:hAnsi="黑体" w:eastAsia="黑体"/>
          <w:sz w:val="28"/>
          <w:szCs w:val="24"/>
        </w:rPr>
      </w:pPr>
      <w:r>
        <w:rPr>
          <w:rFonts w:hint="eastAsia" w:ascii="黑体" w:hAnsi="黑体" w:eastAsia="黑体"/>
          <w:sz w:val="28"/>
          <w:szCs w:val="24"/>
        </w:rPr>
        <w:t xml:space="preserve">摘 </w:t>
      </w:r>
      <w:r>
        <w:rPr>
          <w:rFonts w:ascii="黑体" w:hAnsi="黑体" w:eastAsia="黑体"/>
          <w:sz w:val="28"/>
          <w:szCs w:val="24"/>
        </w:rPr>
        <w:t xml:space="preserve"> 要</w:t>
      </w:r>
    </w:p>
    <w:p w14:paraId="4B08CF1D">
      <w:pPr>
        <w:ind w:firstLine="480"/>
      </w:pPr>
      <w:r>
        <w:rPr>
          <w:rFonts w:hint="eastAsia"/>
        </w:rPr>
        <w:t>开发稿（前置章节，待 Q3/Q4 结果冻结）。本文基于题目提供的锂离子电池循环老化数据，建立从数据深层审计、策略—寿命关联、早期运行校正到受可信域约束策略比较的证据流程。本版仅写入已验证的数据口径、问题分解、模型边界和可复现流程，不将尚未完成的 Q3 人工稳定性裁决、Secondary 压力测试或新策略 pilot 写成最终结论。</w:t>
      </w:r>
    </w:p>
    <w:p w14:paraId="0EA8282D">
      <w:pPr>
        <w:ind w:firstLine="480"/>
      </w:pPr>
      <w:r>
        <w:rPr>
          <w:rFonts w:hint="eastAsia"/>
        </w:rPr>
        <w:t>问题一：按物理条码重建电芯级数据、审计局部异常，并给出寿命分布与重复策略的描述性一致性证据。</w:t>
      </w:r>
    </w:p>
    <w:p w14:paraId="43E0B92A">
      <w:pPr>
        <w:ind w:firstLine="480"/>
      </w:pPr>
      <w:r>
        <w:rPr>
          <w:rFonts w:hint="eastAsia"/>
        </w:rPr>
        <w:t>问题二：在策略组折外验证下建立主效应与交互敏感性基线，严格区分条件统计关联、可信域与因果结论。</w:t>
      </w:r>
    </w:p>
    <w:p w14:paraId="04AB95B2">
      <w:pPr>
        <w:ind w:firstLine="480"/>
      </w:pPr>
      <w:r>
        <w:rPr>
          <w:rFonts w:hint="eastAsia"/>
        </w:rPr>
        <w:t>问题三：以截止循环前的早期运行信息预测寿命与未来 SOH；k=5 用于筛查候选，k=100 用于开发集内正式校正候选，最终外部确认保留给 Secondary。</w:t>
      </w:r>
    </w:p>
    <w:p w14:paraId="31E11036">
      <w:pPr>
        <w:ind w:firstLine="480"/>
      </w:pPr>
      <w:r>
        <w:rPr>
          <w:rFonts w:hint="eastAsia"/>
        </w:rPr>
        <w:t>问题四：将已有策略的开发池比较与新策略的试验确认分开；没有真实早期运行数据的新策略只能标记为 provisional。</w:t>
      </w:r>
    </w:p>
    <w:p w14:paraId="10C0560C">
      <w:pPr>
        <w:ind w:firstLine="480"/>
      </w:pPr>
    </w:p>
    <w:p w14:paraId="03089CCC">
      <w:pPr>
        <w:ind w:firstLine="0" w:firstLineChars="0"/>
      </w:pPr>
      <w:r>
        <w:rPr>
          <w:rFonts w:hint="eastAsia" w:ascii="黑体" w:hAnsi="黑体" w:eastAsia="黑体"/>
        </w:rPr>
        <w:t>关键词：锂离子电池；分段快充；岭回归；早期健康预测；分组交叉验证；Pareto</w:t>
      </w:r>
      <w:r>
        <w:rPr>
          <w:rFonts w:hint="eastAsia"/>
          <w:lang w:val="en-US" w:eastAsia="zh-CN"/>
        </w:rPr>
      </w:r>
      <w:r>
        <w:rPr>
          <w:rFonts w:hint="eastAsia"/>
        </w:rPr>
      </w:r>
      <w:r/>
      <w:r>
        <w:rPr>
          <w:rFonts w:hint="eastAsia"/>
          <w:lang w:val="en-US" w:eastAsia="zh-CN"/>
        </w:rPr>
      </w:r>
      <w:r>
        <w:rPr>
          <w:rFonts w:hint="eastAsia"/>
        </w:rPr>
      </w:r>
      <w:r/>
      <w:r>
        <w:rPr>
          <w:rFonts w:hint="eastAsia"/>
          <w:lang w:val="en-US" w:eastAsia="zh-CN"/>
        </w:rPr>
      </w:r>
      <w:r/>
    </w:p>
    <w:p w14:paraId="00FA10E2">
      <w:pPr>
        <w:ind w:firstLine="0" w:firstLineChars="0"/>
      </w:pPr>
    </w:p>
    <w:p w14:paraId="7E918128">
      <w:pPr>
        <w:widowControl/>
        <w:ind w:firstLine="0" w:firstLineChars="0"/>
        <w:jc w:val="left"/>
      </w:pPr>
      <w:r>
        <w:br w:type="page"/>
      </w:r>
    </w:p>
    <w:p w14:paraId="2A42AC08">
      <w:pPr>
        <w:pStyle w:val="2"/>
        <w:ind w:left="240" w:right="240"/>
      </w:pPr>
      <w:bookmarkStart w:id="0" w:name="_Toc57576277"/>
      <w:r>
        <w:t>问题</w:t>
      </w:r>
      <w:r>
        <w:rPr>
          <w:rFonts w:hint="eastAsia"/>
          <w:lang w:val="en-US" w:eastAsia="zh-CN"/>
        </w:rPr>
        <w:t>背景与</w:t>
      </w:r>
      <w:r>
        <w:t>重述</w:t>
      </w:r>
      <w:bookmarkEnd w:id="0"/>
    </w:p>
    <w:p w14:paraId="4395398F">
      <w:pPr>
        <w:pStyle w:val="3"/>
        <w:bidi w:val="0"/>
      </w:pPr>
      <w:r>
        <w:rPr>
          <w:rFonts w:hint="eastAsia"/>
          <w:lang w:val="en-US" w:eastAsia="zh-CN"/>
        </w:rPr>
        <w:t>问题背景</w:t>
      </w:r>
    </w:p>
    <w:p w14:paraId="3BF60FCA">
      <w:pPr>
        <w:rPr>
          <w:rFonts w:ascii="宋体" w:hAnsi="宋体" w:eastAsia="宋体" w:cs="宋体"/>
          <w:sz w:val="24"/>
          <w:szCs w:val="24"/>
        </w:rPr>
      </w:pPr>
      <w:r>
        <w:rPr>
          <w:rFonts w:ascii="宋体" w:hAnsi="宋体" w:eastAsia="宋体" w:cs="宋体"/>
          <w:sz w:val="24"/>
          <w:szCs w:val="24"/>
        </w:rPr>
        <w:t>随着新能源汽车和储能系统快速发展，快充策略需要同时面对补能时间与循环寿命的权衡。题目数据记录了同一放电制度下不同两阶段恒流快充策略的循环老化过程。研究的重点不是把一个点预测包装成最终最优，而是在可追溯的数据口径下，区分策略层的条件关联、单电芯早期校正和仍待试验确认的新策略。</w:t>
      </w:r>
      <w:r>
        <w:rPr>
          <w:rFonts w:hint="eastAsia" w:ascii="宋体" w:hAnsi="宋体" w:cs="宋体"/>
          <w:sz w:val="24"/>
          <w:szCs w:val="24"/>
          <w:vertAlign w:val="superscript"/>
          <w:lang w:val="en-US" w:eastAsia="zh-CN"/>
        </w:rPr>
      </w:r>
      <w:r>
        <w:rPr>
          <w:rFonts w:ascii="宋体" w:hAnsi="宋体" w:eastAsia="宋体" w:cs="宋体"/>
          <w:sz w:val="24"/>
          <w:szCs w:val="24"/>
        </w:rPr>
      </w:r>
    </w:p>
    <w:p w14:paraId="214B9E7B">
      <w:pPr>
        <w:rPr>
          <w:rFonts w:hint="eastAsia" w:ascii="宋体" w:hAnsi="宋体" w:cs="宋体"/>
          <w:sz w:val="24"/>
          <w:szCs w:val="24"/>
          <w:lang w:val="en-US" w:eastAsia="zh-CN"/>
        </w:rPr>
      </w:pPr>
      <w:r>
        <w:rPr>
          <w:rFonts w:hint="eastAsia"/>
          <w:lang w:val="en-US" w:eastAsia="zh-CN"/>
        </w:rPr>
        <w:t>原始数据由三个 MAT 文件及文献 Table 9 的官方寿命/策略记录组成。经审计后以 124 个物理条码为主体，使用官方 `cycle_life` 作为寿命标签；充电策略由 C1、SOC 切换比例 q 和 C2 表示。IR 的单位为 Ω，`chargetime` 的单位为 min；3.6 V 上限来自题目参考文献中的实验协议，不是题面额外硬约束。</w:t>
      </w:r>
      <w:r>
        <w:rPr>
          <w:rFonts w:hint="default" w:ascii="Times New Roman" w:hAnsi="Times New Roman" w:cs="Times New Roman"/>
          <w:lang w:val="en-US" w:eastAsia="zh-CN"/>
        </w:rPr>
      </w:r>
      <w:r>
        <w:rPr>
          <w:rFonts w:hint="eastAsia"/>
          <w:lang w:val="en-US" w:eastAsia="zh-CN"/>
        </w:rPr>
      </w:r>
      <w:r>
        <w:rPr>
          <w:rFonts w:hint="eastAsia"/>
          <w:vertAlign w:val="superscript"/>
          <w:lang w:val="en-US" w:eastAsia="zh-CN"/>
        </w:rPr>
      </w:r>
      <w:r>
        <w:rPr>
          <w:rFonts w:hint="eastAsia"/>
          <w:vertAlign w:val="baseline"/>
          <w:lang w:val="en-US" w:eastAsia="zh-CN"/>
        </w:rPr>
      </w:r>
      <w:r>
        <w:rPr>
          <w:rFonts w:ascii="宋体" w:hAnsi="宋体" w:eastAsia="宋体" w:cs="宋体"/>
          <w:sz w:val="24"/>
          <w:szCs w:val="24"/>
        </w:rPr>
      </w:r>
      <w:r>
        <w:rPr>
          <w:rFonts w:hint="default" w:ascii="Times New Roman" w:hAnsi="Times New Roman" w:eastAsia="宋体" w:cs="Times New Roman"/>
          <w:sz w:val="24"/>
          <w:szCs w:val="24"/>
        </w:rPr>
      </w:r>
      <w:r>
        <w:rPr>
          <w:rFonts w:ascii="宋体" w:hAnsi="宋体" w:eastAsia="宋体" w:cs="宋体"/>
          <w:sz w:val="24"/>
          <w:szCs w:val="24"/>
        </w:rPr>
      </w:r>
      <w:r>
        <w:rPr>
          <w:rFonts w:hint="eastAsia" w:ascii="宋体" w:hAnsi="宋体" w:cs="宋体"/>
          <w:sz w:val="24"/>
          <w:szCs w:val="24"/>
          <w:lang w:eastAsia="zh-CN"/>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ascii="宋体" w:hAnsi="宋体" w:eastAsia="宋体" w:cs="宋体"/>
          <w:sz w:val="24"/>
          <w:szCs w:val="24"/>
        </w:rPr>
      </w:r>
      <w:r>
        <w:rPr>
          <w:rFonts w:hint="default" w:ascii="Times New Roman" w:hAnsi="Times New Roman" w:eastAsia="宋体" w:cs="Times New Roman"/>
          <w:sz w:val="24"/>
          <w:szCs w:val="24"/>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subscript"/>
          <w:lang w:val="en-US" w:eastAsia="zh-CN"/>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ascii="宋体" w:hAnsi="宋体" w:eastAsia="宋体" w:cs="宋体"/>
          <w:sz w:val="24"/>
          <w:szCs w:val="24"/>
        </w:rPr>
      </w:r>
      <w:r>
        <w:rPr>
          <w:rFonts w:hint="default" w:ascii="Times New Roman" w:hAnsi="Times New Roman" w:eastAsia="宋体" w:cs="Times New Roman"/>
          <w:sz w:val="24"/>
          <w:szCs w:val="24"/>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ascii="宋体" w:hAnsi="宋体" w:eastAsia="宋体" w:cs="宋体"/>
          <w:sz w:val="24"/>
          <w:szCs w:val="24"/>
        </w:rPr>
      </w:r>
      <w:r>
        <w:rPr>
          <w:rFonts w:hint="default" w:ascii="Times New Roman" w:hAnsi="Times New Roman" w:eastAsia="宋体" w:cs="Times New Roman"/>
          <w:sz w:val="24"/>
          <w:szCs w:val="24"/>
        </w:rPr>
      </w:r>
      <w:r>
        <w:rPr>
          <w:rFonts w:ascii="宋体" w:hAnsi="宋体" w:eastAsia="宋体" w:cs="宋体"/>
          <w:sz w:val="24"/>
          <w:szCs w:val="24"/>
        </w:rPr>
      </w:r>
    </w:p>
    <w:p w14:paraId="68BA93ED">
      <w:pPr>
        <w:pStyle w:val="3"/>
        <w:bidi w:val="0"/>
        <w:rPr>
          <w:rFonts w:hint="eastAsia"/>
          <w:lang w:val="en-US" w:eastAsia="zh-CN"/>
        </w:rPr>
      </w:pPr>
      <w:r>
        <w:rPr>
          <w:rFonts w:hint="eastAsia"/>
          <w:lang w:val="en-US" w:eastAsia="zh-CN"/>
        </w:rPr>
        <w:t>问题重述</w:t>
      </w:r>
    </w:p>
    <w:p w14:paraId="4DDBE12C">
      <w:pPr>
        <w:rPr>
          <w:rFonts w:hint="eastAsia"/>
          <w:lang w:val="en-US" w:eastAsia="zh-CN"/>
        </w:rPr>
      </w:pPr>
      <w:r>
        <w:rPr>
          <w:rFonts w:hint="eastAsia"/>
          <w:lang w:val="en-US" w:eastAsia="zh-CN"/>
        </w:rPr>
        <w:t>本文按“数据审计—策略关联—早期校正—受约束比较”的顺序回答四个问题，并用策略分组验证、字段—循环掩码和外部测试留置来控制信息泄漏。</w:t>
      </w:r>
    </w:p>
    <w:p w14:paraId="46856CD9">
      <w:pPr>
        <w:rPr>
          <w:rFonts w:hint="eastAsia"/>
          <w:lang w:val="en-US" w:eastAsia="zh-CN"/>
        </w:rPr>
      </w:pPr>
      <w:r>
        <w:rPr>
          <w:rFonts w:hint="eastAsia"/>
          <w:lang w:val="en-US" w:eastAsia="zh-CN"/>
        </w:rPr>
        <w:t>问题一：构建可追溯的电芯级数据集，描述寿命分布、策略覆盖与重复策略的跨分区一致性；不作因果归因。</w:t>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lang w:val="en-US" w:eastAsia="zh-CN"/>
        </w:rPr>
      </w:r>
    </w:p>
    <w:p w14:paraId="6BE7CB21">
      <w:pPr>
        <w:bidi w:val="0"/>
        <w:rPr>
          <w:rFonts w:hint="eastAsia"/>
          <w:lang w:val="en-US" w:eastAsia="zh-CN"/>
        </w:rPr>
      </w:pPr>
      <w:r>
        <w:rPr>
          <w:rFonts w:hint="eastAsia"/>
          <w:lang w:val="en-US" w:eastAsia="zh-CN"/>
        </w:rPr>
        <w:t>问题二：量化不同 SOC 阶段倍率与寿命的条件统计关联，比较主效应 Ridge 与二阶交互 Ridge，并给出可信域内的策略层预测代理。</w:t>
      </w:r>
      <w:r/>
    </w:p>
    <w:p w14:paraId="69874969">
      <w:pPr>
        <w:rPr>
          <w:rFonts w:hint="eastAsia"/>
          <w:lang w:val="en-US" w:eastAsia="zh-CN"/>
        </w:rPr>
      </w:pPr>
      <w:r>
        <w:rPr>
          <w:rFonts w:hint="eastAsia"/>
          <w:lang w:val="en-US" w:eastAsia="zh-CN"/>
        </w:rPr>
        <w:t>问题三：从容量、内阻、温度、充电时间及经审计的原始充电曲线中提取早期特征，预测未来 SOH 与寿命，比较观测窗口的时效—精度权衡。</w:t>
      </w:r>
    </w:p>
    <w:p w14:paraId="04B926ED">
      <w:pPr>
        <w:rPr>
          <w:rFonts w:hint="eastAsia"/>
          <w:lang w:val="en-US" w:eastAsia="zh-CN"/>
        </w:rPr>
      </w:pPr>
      <w:r>
        <w:rPr>
          <w:rFonts w:hint="eastAsia"/>
          <w:lang w:val="en-US" w:eastAsia="zh-CN"/>
        </w:rPr>
        <w:t>问题四：在已有策略与新策略两个信息条件下，分别进行开发池比较与试验设计；任何新策略在取得真实早期运行数据前均不输出正式 Pareto 推荐。</w:t>
      </w:r>
    </w:p>
    <w:p w14:paraId="513B8405">
      <w:pPr>
        <w:rPr>
          <w:rFonts w:hint="eastAsia"/>
          <w:lang w:val="en-US" w:eastAsia="zh-CN"/>
        </w:rPr>
      </w:pPr>
    </w:p>
    <w:p w14:paraId="354F970F">
      <w:pPr>
        <w:pStyle w:val="2"/>
      </w:pPr>
      <w:bookmarkStart w:id="1" w:name="_Toc57576278"/>
      <w:r>
        <w:t>问题分析</w:t>
      </w:r>
      <w:bookmarkEnd w:id="1"/>
    </w:p>
    <w:p w14:paraId="274CB883">
      <w:pPr>
        <w:pStyle w:val="3"/>
        <w:spacing w:after="156"/>
      </w:pPr>
      <w:bookmarkStart w:id="2" w:name="_Toc57576279"/>
      <w:r>
        <w:rPr>
          <w:rFonts w:hint="eastAsia"/>
        </w:rPr>
        <w:t>问题一的分析</w:t>
      </w:r>
      <w:bookmarkEnd w:id="2"/>
    </w:p>
    <w:p w14:paraId="0F264EF6">
      <w:pPr>
        <w:bidi w:val="0"/>
        <w:rPr/>
      </w:pPr>
      <w:r>
        <w:t>问题一首先解决“什么数据可以被使用”。以 `barcode` 为物理主键拼接续测片段，使用 Table 9 官方寿命标签对齐策略，并保留所有电芯。原始曲线的异常不通过静默删整枚电芯处理，而是逐字段、逐循环形成掩码；随后用分位数与重抽样刻画寿命分布及重复策略的一致性。</w:t>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p>
    <w:p w14:paraId="6C3ABF80">
      <w:pPr>
        <w:bidi w:val="0"/>
        <w:rPr/>
      </w:pPr>
      <w:r>
        <w:t>问题一的输出为后续模型提供统一样本边界、单位、循环索引与异常标记。由于相同策略在不同电芯和分区中仍存在显著差异，策略统计只能作为总体描述和后续条件关联的起点，不能替代个体化预测。</w:t>
      </w:r>
    </w:p>
    <w:p w14:paraId="5AB9D211">
      <w:pPr>
        <w:bidi w:val="0"/>
      </w:pPr>
    </w:p>
    <w:p w14:paraId="0AC2DDA8">
      <w:pPr>
        <w:pStyle w:val="3"/>
        <w:spacing w:after="156"/>
      </w:pPr>
      <w:bookmarkStart w:id="3" w:name="_Toc57576280"/>
      <w:r>
        <w:rPr>
          <w:rFonts w:hint="eastAsia"/>
        </w:rPr>
        <w:t>问题二的分析</w:t>
      </w:r>
      <w:bookmarkEnd w:id="3"/>
    </w:p>
    <w:p w14:paraId="4962F2DD">
      <w:pPr>
        <w:ind w:firstLine="480"/>
      </w:pPr>
      <w:r>
        <w:t>问题二以策略参数为输入、自然对数寿命为目标。先使用主效应 Ridge 作为低复杂度基线，再用二阶交互 Ridge 检验 SOC 分段倍率的探索性关联；所有标准化、正则化和模型比较均置于 Train 内的 `policy_table9` 分组验证中。</w:t>
      </w:r>
    </w:p>
    <w:p w14:paraId="1739DF84">
      <w:pPr>
        <w:pStyle w:val="3"/>
        <w:spacing w:after="156"/>
      </w:pPr>
      <w:r>
        <w:rPr>
          <w:rFonts w:hint="eastAsia"/>
        </w:rPr>
        <w:t>问题三的分析</w:t>
      </w:r>
    </w:p>
    <w:p w14:paraId="6D89E22C">
      <w:r>
        <w:t>问题三把可获得信息的时点写入模型：截止 k 时只允许使用 cycle≤k 的数据。寿命和未来 SOH 采用相同的外层分组验证；k=5 的角色是尽早筛查，k=100 的角色是更充分的运行后校正候选。曲线增强特征只从通过六字段审计的充电点提取。</w:t>
      </w:r>
    </w:p>
    <w:p w14:paraId="7231070D">
      <w:pPr>
        <w:pStyle w:val="3"/>
        <w:bidi w:val="0"/>
        <w:rPr>
          <w:rFonts w:hint="default"/>
          <w:lang w:val="en-US" w:eastAsia="zh-CN"/>
        </w:rPr>
      </w:pPr>
      <w:r>
        <w:rPr>
          <w:rFonts w:hint="eastAsia"/>
          <w:lang w:val="en-US" w:eastAsia="zh-CN"/>
        </w:rPr>
        <w:t>问题四的分析</w:t>
      </w:r>
    </w:p>
    <w:p w14:paraId="24C5CE1D">
      <w:pPr>
        <w:pStyle w:val="2"/>
      </w:pPr>
      <w:bookmarkStart w:id="4" w:name="_Toc57576281"/>
      <w:r>
        <w:t>问题四不直接在无约束网格上宣布最优点。对已有策略，只做开发池内的交叉拟合比较；对新策略，先用 Q2 在 raw/SOC 双空间可信域内提名，再经过真实 k=5 筛查、真实 k=100 校正和最终外部压力测试后，才可能进入正式 Pareto 集。</w:t>
      </w:r>
      <w:bookmarkEnd w:id="4"/>
    </w:p>
    <w:p w14:paraId="18A3826C">
      <w:pPr>
        <w:pStyle w:val="22"/>
        <w:numPr>
          <w:numId w:val="0"/>
        </w:numPr>
        <w:ind w:left="480" w:leftChars="0"/>
        <w:rPr>
          <w:rFonts w:hint="eastAsia" w:eastAsia="宋体"/>
          <w:color w:val="auto"/>
          <w:lang w:val="en-US" w:eastAsia="zh-CN"/>
        </w:rPr>
      </w:pPr>
      <w:r>
        <w:rPr>
          <w:rFonts w:hint="eastAsia"/>
          <w:color w:val="auto"/>
          <w:lang w:val="en-US" w:eastAsia="zh-CN"/>
        </w:rPr>
        <w:t>1. 以 Table 9 对齐后的官方循环寿命作为电芯级寿命标签；原始 MAT 只读。</w:t>
      </w:r>
      <w:r>
        <w:rPr>
          <w:rFonts w:ascii="宋体" w:hAnsi="宋体" w:eastAsia="宋体" w:cs="宋体"/>
          <w:sz w:val="24"/>
          <w:szCs w:val="24"/>
        </w:rPr>
      </w:r>
      <w:r>
        <w:rPr>
          <w:rFonts w:hint="eastAsia" w:ascii="宋体" w:hAnsi="宋体" w:cs="宋体"/>
          <w:sz w:val="24"/>
          <w:szCs w:val="24"/>
          <w:lang w:eastAsia="zh-CN"/>
        </w:rPr>
      </w:r>
    </w:p>
    <w:p w14:paraId="47EE3555">
      <w:pPr>
        <w:pStyle w:val="22"/>
        <w:numPr>
          <w:numId w:val="0"/>
        </w:numPr>
        <w:ind w:left="480" w:leftChars="0"/>
        <w:rPr>
          <w:rFonts w:hint="eastAsia" w:eastAsia="宋体"/>
          <w:color w:val="auto"/>
          <w:lang w:val="en-US" w:eastAsia="zh-CN"/>
        </w:rPr>
      </w:pPr>
      <w:r>
        <w:rPr>
          <w:rFonts w:hint="eastAsia"/>
          <w:color w:val="auto"/>
          <w:lang w:val="en-US" w:eastAsia="zh-CN"/>
        </w:rPr>
        <w:t>2. 局部异常以字段—循环掩码处理，未通过掩码的字段不能进入相应特征，但不静默删除整枚电芯。</w:t>
      </w:r>
      <w:r>
        <w:rPr>
          <w:rFonts w:ascii="宋体" w:hAnsi="宋体" w:eastAsia="宋体" w:cs="宋体"/>
          <w:sz w:val="24"/>
          <w:szCs w:val="24"/>
        </w:rPr>
      </w:r>
      <w:r>
        <w:rPr>
          <w:rFonts w:hint="default" w:ascii="Times New Roman" w:hAnsi="Times New Roman" w:eastAsia="宋体" w:cs="Times New Roman"/>
          <w:sz w:val="24"/>
          <w:szCs w:val="24"/>
        </w:rPr>
      </w:r>
      <w:r>
        <w:rPr>
          <w:rFonts w:ascii="宋体" w:hAnsi="宋体" w:eastAsia="宋体" w:cs="宋体"/>
          <w:sz w:val="24"/>
          <w:szCs w:val="24"/>
        </w:rPr>
      </w:r>
      <w:r>
        <w:rPr>
          <w:rFonts w:hint="eastAsia" w:ascii="宋体" w:hAnsi="宋体" w:cs="宋体"/>
          <w:sz w:val="24"/>
          <w:szCs w:val="24"/>
          <w:lang w:eastAsia="zh-CN"/>
        </w:rPr>
      </w:r>
    </w:p>
    <w:p w14:paraId="330B546D">
      <w:pPr>
        <w:pStyle w:val="22"/>
        <w:numPr>
          <w:numId w:val="0"/>
        </w:numPr>
        <w:ind w:left="480" w:leftChars="0"/>
        <w:rPr>
          <w:rFonts w:hint="eastAsia" w:ascii="宋体" w:hAnsi="宋体" w:cs="宋体"/>
          <w:sz w:val="24"/>
          <w:szCs w:val="24"/>
          <w:lang w:eastAsia="zh-CN"/>
        </w:rPr>
      </w:pPr>
      <w:r>
        <w:rPr>
          <w:rFonts w:hint="eastAsia"/>
          <w:color w:val="auto"/>
          <w:lang w:val="en-US" w:eastAsia="zh-CN"/>
        </w:rPr>
        <w:t>3. 在 Train 的策略组折外比较中，策略—寿命关系只解释为条件统计关联，不解释为充电倍率的单独因果效应。</w:t>
      </w:r>
      <w:r>
        <w:rPr>
          <w:rFonts w:ascii="宋体" w:hAnsi="宋体" w:eastAsia="宋体" w:cs="宋体"/>
          <w:sz w:val="24"/>
          <w:szCs w:val="24"/>
        </w:rPr>
      </w:r>
      <w:r>
        <w:rPr>
          <w:rFonts w:hint="eastAsia" w:ascii="宋体" w:hAnsi="宋体" w:cs="宋体"/>
          <w:sz w:val="24"/>
          <w:szCs w:val="24"/>
          <w:lang w:eastAsia="zh-CN"/>
        </w:rPr>
      </w:r>
    </w:p>
    <w:p w14:paraId="1D5DAB4A">
      <w:pPr>
        <w:pStyle w:val="22"/>
        <w:numPr>
          <w:numId w:val="0"/>
        </w:numPr>
        <w:ind w:left="480" w:leftChars="0"/>
        <w:rPr>
          <w:rFonts w:hint="eastAsia" w:ascii="宋体" w:hAnsi="宋体" w:cs="宋体"/>
          <w:sz w:val="24"/>
          <w:szCs w:val="24"/>
          <w:lang w:eastAsia="zh-CN"/>
        </w:rPr>
      </w:pPr>
      <w:r>
        <w:rPr>
          <w:rFonts w:hint="eastAsia" w:ascii="宋体" w:hAnsi="宋体" w:cs="宋体"/>
          <w:sz w:val="24"/>
          <w:szCs w:val="24"/>
          <w:lang w:val="en-US" w:eastAsia="zh-CN"/>
        </w:rPr>
        <w:t>4. 截止窗口 k 的预测只能使用 cycle≤k 的信息；训练、调参与模板构造均在外层训练折内完成。</w:t>
      </w:r>
      <w:r>
        <w:rPr>
          <w:rFonts w:ascii="宋体" w:hAnsi="宋体" w:eastAsia="宋体" w:cs="宋体"/>
          <w:sz w:val="24"/>
          <w:szCs w:val="24"/>
        </w:rPr>
      </w:r>
      <w:r>
        <w:rPr>
          <w:rFonts w:hint="eastAsia" w:ascii="宋体" w:hAnsi="宋体" w:cs="宋体"/>
          <w:sz w:val="24"/>
          <w:szCs w:val="24"/>
          <w:lang w:eastAsia="zh-CN"/>
        </w:rPr>
      </w:r>
    </w:p>
    <w:p w14:paraId="3704720D">
      <w:pPr>
        <w:bidi w:val="0"/>
        <w:rPr>
          <w:rFonts w:hint="eastAsia"/>
          <w:lang w:val="en-US" w:eastAsia="zh-CN"/>
        </w:rPr>
      </w:pPr>
      <w:r>
        <w:rPr>
          <w:rFonts w:hint="eastAsia"/>
          <w:lang w:val="en-US" w:eastAsia="zh-CN"/>
        </w:rPr>
        <w:t>5. 模型仅适用于已审计数据覆盖的策略区域及其双空间可信邻域；3.6 V 仅作为参考文献实验协议的信息，不额外创造题外安全阈值。</w:t>
      </w:r>
      <w:r/>
      <w:r>
        <w:rPr>
          <w:rFonts w:hint="eastAsia"/>
          <w:lang w:eastAsia="zh-CN"/>
        </w:rPr>
      </w:r>
      <w:bookmarkStart w:id="11" w:name="_GoBack"/>
      <w:bookmarkEnd w:id="11"/>
    </w:p>
    <w:p w14:paraId="5A8B2030">
      <w:pPr>
        <w:pStyle w:val="2"/>
      </w:pPr>
      <w:bookmarkStart w:id="5" w:name="_Toc57576282"/>
      <w:r>
        <w:t>符号说明</w:t>
      </w:r>
      <w:bookmarkEnd w:id="5"/>
    </w:p>
    <w:p w14:paraId="5FA38B1E">
      <w:pPr>
        <w:keepNext w:val="0"/>
        <w:keepLines w:val="0"/>
        <w:widowControl/>
        <w:suppressLineNumbers w:val="0"/>
        <w:jc w:val="left"/>
      </w:pPr>
      <w:r>
        <w:rPr>
          <w:rFonts w:hint="eastAsia" w:ascii="宋体" w:hAnsi="宋体" w:eastAsia="宋体" w:cs="宋体"/>
          <w:color w:val="000000"/>
          <w:kern w:val="0"/>
          <w:sz w:val="24"/>
          <w:szCs w:val="24"/>
          <w:lang w:val="en-US" w:eastAsia="zh-CN" w:bidi="ar"/>
        </w:rPr>
        <w:t>本文中使用到的数据符号说明：</w:t>
      </w:r>
    </w:p>
    <w:tbl>
      <w:tblPr>
        <w:tblStyle w:val="27"/>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1"/>
        <w:gridCol w:w="6520"/>
        <w:gridCol w:w="783"/>
      </w:tblGrid>
      <w:tr w14:paraId="7D7078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14:paraId="1C3935EE">
            <w:pPr>
              <w:ind w:firstLine="0" w:firstLineChars="0"/>
              <w:jc w:val="center"/>
              <w:rPr>
                <w:b/>
                <w:bCs/>
              </w:rPr>
            </w:pPr>
            <w:r>
              <w:rPr>
                <w:rFonts w:hint="eastAsia"/>
                <w:b/>
                <w:bCs/>
              </w:rPr>
              <w:t>符号</w:t>
            </w:r>
          </w:p>
        </w:tc>
        <w:tc>
          <w:tcPr>
            <w:tcW w:w="6520" w:type="dxa"/>
            <w:tcBorders>
              <w:top w:val="single" w:color="auto" w:sz="12" w:space="0"/>
              <w:bottom w:val="single" w:color="auto" w:sz="6" w:space="0"/>
              <w:right w:val="nil"/>
              <w:insideH w:val="single" w:sz="6" w:space="0"/>
              <w:insideV w:val="nil"/>
              <w:tl2br w:val="nil"/>
              <w:tr2bl w:val="nil"/>
            </w:tcBorders>
            <w:vAlign w:val="center"/>
          </w:tcPr>
          <w:p w14:paraId="59D6BB2F">
            <w:pPr>
              <w:ind w:firstLine="0" w:firstLineChars="0"/>
              <w:jc w:val="center"/>
              <w:rPr>
                <w:b/>
                <w:bCs/>
              </w:rPr>
            </w:pPr>
            <w:r>
              <w:rPr>
                <w:rFonts w:hint="eastAsia"/>
                <w:b/>
                <w:bCs/>
              </w:rPr>
              <w:t>说明</w:t>
            </w:r>
          </w:p>
        </w:tc>
        <w:tc>
          <w:tcPr>
            <w:tcW w:w="783" w:type="dxa"/>
            <w:tcBorders>
              <w:top w:val="single" w:color="auto" w:sz="12" w:space="0"/>
              <w:bottom w:val="single" w:color="auto" w:sz="6" w:space="0"/>
              <w:right w:val="nil"/>
              <w:insideH w:val="single" w:sz="6" w:space="0"/>
              <w:insideV w:val="nil"/>
              <w:tl2br w:val="nil"/>
              <w:tr2bl w:val="nil"/>
            </w:tcBorders>
            <w:vAlign w:val="center"/>
          </w:tcPr>
          <w:p w14:paraId="1DD7DE1B">
            <w:pPr>
              <w:ind w:firstLine="0" w:firstLineChars="0"/>
              <w:jc w:val="center"/>
              <w:rPr>
                <w:b/>
                <w:bCs/>
              </w:rPr>
            </w:pPr>
            <w:r>
              <w:rPr>
                <w:rFonts w:hint="eastAsia"/>
                <w:b/>
                <w:bCs/>
              </w:rPr>
              <w:t>单位</w:t>
            </w:r>
          </w:p>
        </w:tc>
      </w:tr>
      <w:tr w14:paraId="5570F1C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EBBF2BB">
            <w:pPr>
              <w:adjustRightInd w:val="0"/>
              <w:snapToGrid w:val="0"/>
              <w:ind w:firstLine="0" w:firstLineChars="0"/>
              <w:jc w:val="center"/>
            </w:pPr>
            <w:r>
              <w:t>C1</w:t>
            </w:r>
          </w:p>
        </w:tc>
        <w:tc>
          <w:tcPr>
            <w:tcW w:w="6520" w:type="dxa"/>
            <w:vAlign w:val="center"/>
          </w:tcPr>
          <w:p w14:paraId="6B5BCAD2">
            <w:pPr>
              <w:bidi w:val="0"/>
              <w:jc w:val="center"/>
            </w:pPr>
            <w:r>
              <w:t>第一阶段充电倍率</w:t>
            </w:r>
          </w:p>
        </w:tc>
        <w:tc>
          <w:tcPr>
            <w:tcW w:w="783" w:type="dxa"/>
            <w:vAlign w:val="center"/>
          </w:tcPr>
          <w:p w14:paraId="3B80C0CB">
            <w:pPr>
              <w:adjustRightInd w:val="0"/>
              <w:snapToGrid w:val="0"/>
              <w:ind w:firstLine="0" w:firstLineChars="0"/>
              <w:jc w:val="center"/>
            </w:pPr>
            <w:r>
              <w:t>C-rate</w:t>
            </w:r>
          </w:p>
        </w:tc>
      </w:tr>
      <w:tr w14:paraId="7AC05C5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457C53A">
            <w:pPr>
              <w:adjustRightInd w:val="0"/>
              <w:snapToGrid w:val="0"/>
              <w:ind w:firstLine="0" w:firstLineChars="0"/>
              <w:jc w:val="center"/>
              <w:rPr>
                <w:rFonts w:ascii="宋体" w:hAnsi="宋体" w:eastAsia="宋体" w:cs="宋体"/>
                <w:sz w:val="24"/>
                <w:szCs w:val="24"/>
              </w:rPr>
            </w:pPr>
            <w:r>
              <w:t>q</w:t>
            </w:r>
          </w:p>
        </w:tc>
        <w:tc>
          <w:tcPr>
            <w:tcW w:w="6520" w:type="dxa"/>
            <w:vAlign w:val="center"/>
          </w:tcPr>
          <w:p w14:paraId="1DC5F07E">
            <w:pPr>
              <w:bidi w:val="0"/>
              <w:jc w:val="center"/>
              <w:rPr>
                <w:rFonts w:hint="eastAsia"/>
                <w:lang w:val="en-US" w:eastAsia="zh-CN"/>
              </w:rPr>
            </w:pPr>
            <w:r>
              <w:t>倍率切换 SOC 比例（Q1_percent/100）</w:t>
            </w:r>
            <w:r>
              <w:rPr>
                <w:rFonts w:hint="eastAsia"/>
                <w:lang w:val="en-US" w:eastAsia="zh-CN"/>
              </w:rPr>
            </w:r>
            <w:r/>
          </w:p>
        </w:tc>
        <w:tc>
          <w:tcPr>
            <w:tcW w:w="783" w:type="dxa"/>
            <w:vAlign w:val="center"/>
          </w:tcPr>
          <w:p w14:paraId="0FD929C0">
            <w:pPr>
              <w:adjustRightInd w:val="0"/>
              <w:snapToGrid w:val="0"/>
              <w:ind w:firstLine="0" w:firstLineChars="0"/>
              <w:jc w:val="center"/>
            </w:pPr>
            <w:r>
              <w:t>—</w:t>
            </w:r>
          </w:p>
        </w:tc>
      </w:tr>
      <w:tr w14:paraId="12BB1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68F93F4E">
            <w:pPr>
              <w:adjustRightInd w:val="0"/>
              <w:snapToGrid w:val="0"/>
              <w:ind w:firstLine="0" w:firstLineChars="0"/>
              <w:jc w:val="center"/>
            </w:pPr>
            <w:r>
              <w:t>C2</w:t>
            </w:r>
          </w:p>
        </w:tc>
        <w:tc>
          <w:tcPr>
            <w:tcW w:w="6520" w:type="dxa"/>
            <w:vAlign w:val="center"/>
          </w:tcPr>
          <w:p w14:paraId="3CFE7A83">
            <w:pPr>
              <w:bidi w:val="0"/>
              <w:jc w:val="center"/>
            </w:pPr>
            <w:r>
              <w:t>第二阶段充电倍率</w:t>
            </w:r>
          </w:p>
        </w:tc>
        <w:tc>
          <w:tcPr>
            <w:tcW w:w="783" w:type="dxa"/>
            <w:vAlign w:val="center"/>
          </w:tcPr>
          <w:p w14:paraId="09AED201">
            <w:pPr>
              <w:adjustRightInd w:val="0"/>
              <w:snapToGrid w:val="0"/>
              <w:ind w:firstLine="0" w:firstLineChars="0"/>
              <w:jc w:val="center"/>
            </w:pPr>
            <w:r>
              <w:t>C-rate</w:t>
            </w:r>
          </w:p>
        </w:tc>
      </w:tr>
      <w:tr w14:paraId="022EDD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2F974993">
            <w:pPr>
              <w:adjustRightInd w:val="0"/>
              <w:snapToGrid w:val="0"/>
              <w:ind w:firstLine="0" w:firstLineChars="0"/>
              <w:jc w:val="center"/>
            </w:pPr>
            <w:r>
              <w:t>L_i</w:t>
            </w:r>
          </w:p>
        </w:tc>
        <w:tc>
          <w:tcPr>
            <w:tcW w:w="6520" w:type="dxa"/>
            <w:vAlign w:val="center"/>
          </w:tcPr>
          <w:p w14:paraId="59EE4B1E">
            <w:pPr>
              <w:adjustRightInd w:val="0"/>
              <w:snapToGrid w:val="0"/>
              <w:ind w:firstLine="0" w:firstLineChars="0"/>
              <w:jc w:val="center"/>
            </w:pPr>
            <w:r>
              <w:rPr>
                <w:rFonts w:hint="eastAsia" w:cs="Times New Roman"/>
                <w:kern w:val="0"/>
                <w:sz w:val="24"/>
                <w:szCs w:val="24"/>
                <w:vertAlign w:val="baseline"/>
                <w:lang w:val="en-US" w:eastAsia="zh-CN"/>
              </w:rPr>
              <w:t>Table 9 官方循环寿命</w:t>
            </w:r>
          </w:p>
        </w:tc>
        <w:tc>
          <w:tcPr>
            <w:tcW w:w="783" w:type="dxa"/>
            <w:vAlign w:val="center"/>
          </w:tcPr>
          <w:p w14:paraId="25C49903">
            <w:pPr>
              <w:adjustRightInd w:val="0"/>
              <w:snapToGrid w:val="0"/>
              <w:ind w:firstLine="0" w:firstLineChars="0"/>
              <w:jc w:val="center"/>
            </w:pPr>
            <w:r>
              <w:t>cycle</w:t>
            </w:r>
          </w:p>
        </w:tc>
      </w:tr>
      <w:tr w14:paraId="257E24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AE64169">
            <w:pPr>
              <w:adjustRightInd w:val="0"/>
              <w:snapToGrid w:val="0"/>
              <w:ind w:firstLine="0" w:firstLineChars="0"/>
              <w:jc w:val="center"/>
            </w:pPr>
            <w:r>
              <w:t>z_i=ln(L_i)</w:t>
            </w:r>
          </w:p>
        </w:tc>
        <w:tc>
          <w:tcPr>
            <w:tcW w:w="6520" w:type="dxa"/>
            <w:vAlign w:val="center"/>
          </w:tcPr>
          <w:p w14:paraId="4E682DBE">
            <w:pPr>
              <w:adjustRightInd w:val="0"/>
              <w:snapToGrid w:val="0"/>
              <w:ind w:firstLine="0" w:firstLineChars="0"/>
              <w:jc w:val="center"/>
            </w:pPr>
            <w:r>
              <w:t>自然对数寿命建模目标</w:t>
            </w:r>
          </w:p>
        </w:tc>
        <w:tc>
          <w:tcPr>
            <w:tcW w:w="783" w:type="dxa"/>
            <w:vAlign w:val="center"/>
          </w:tcPr>
          <w:p w14:paraId="0DAF9F47">
            <w:pPr>
              <w:adjustRightInd w:val="0"/>
              <w:snapToGrid w:val="0"/>
              <w:ind w:firstLine="0" w:firstLineChars="0"/>
              <w:jc w:val="center"/>
            </w:pPr>
            <w:r>
              <w:t>—</w:t>
            </w:r>
          </w:p>
        </w:tc>
      </w:tr>
      <w:tr w14:paraId="754E74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35228C2">
            <w:pPr>
              <w:adjustRightInd w:val="0"/>
              <w:snapToGrid w:val="0"/>
              <w:ind w:firstLine="0" w:firstLineChars="0"/>
              <w:jc w:val="center"/>
            </w:pPr>
            <w:r>
              <w:t>k</w:t>
            </w:r>
          </w:p>
        </w:tc>
        <w:tc>
          <w:tcPr>
            <w:tcW w:w="6520" w:type="dxa"/>
            <w:vAlign w:val="center"/>
          </w:tcPr>
          <w:p w14:paraId="31F29CDA">
            <w:pPr>
              <w:adjustRightInd w:val="0"/>
              <w:snapToGrid w:val="0"/>
              <w:ind w:firstLine="0" w:firstLineChars="0"/>
              <w:jc w:val="center"/>
            </w:pPr>
            <w:r>
              <w:t>早期观测截止循环</w:t>
            </w:r>
          </w:p>
        </w:tc>
        <w:tc>
          <w:tcPr>
            <w:tcW w:w="783" w:type="dxa"/>
            <w:vAlign w:val="center"/>
          </w:tcPr>
          <w:p w14:paraId="43783322">
            <w:pPr>
              <w:adjustRightInd w:val="0"/>
              <w:snapToGrid w:val="0"/>
              <w:ind w:firstLine="0" w:firstLineChars="0"/>
              <w:jc w:val="center"/>
            </w:pPr>
            <w:r>
              <w:t>cycle</w:t>
            </w:r>
          </w:p>
        </w:tc>
      </w:tr>
      <w:tr w14:paraId="0E37B19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DD146E1">
            <w:pPr>
              <w:adjustRightInd w:val="0"/>
              <w:snapToGrid w:val="0"/>
              <w:ind w:firstLine="0" w:firstLineChars="0"/>
              <w:jc w:val="center"/>
            </w:pPr>
            <w:r>
              <w:t>SOH_nom</w:t>
            </w:r>
          </w:p>
        </w:tc>
        <w:tc>
          <w:tcPr>
            <w:tcW w:w="6520" w:type="dxa"/>
            <w:vAlign w:val="center"/>
          </w:tcPr>
          <w:p w14:paraId="4098FE87">
            <w:pPr>
              <w:adjustRightInd w:val="0"/>
              <w:snapToGrid w:val="0"/>
              <w:ind w:firstLine="0" w:firstLineChars="0"/>
              <w:jc w:val="center"/>
            </w:pPr>
            <w:r>
              <w:t>放电容量/1.1 Ah</w:t>
            </w:r>
          </w:p>
        </w:tc>
        <w:tc>
          <w:tcPr>
            <w:tcW w:w="783" w:type="dxa"/>
            <w:vAlign w:val="center"/>
          </w:tcPr>
          <w:p w14:paraId="4869643F">
            <w:pPr>
              <w:adjustRightInd w:val="0"/>
              <w:snapToGrid w:val="0"/>
              <w:ind w:firstLine="0" w:firstLineChars="0"/>
              <w:jc w:val="center"/>
            </w:pPr>
            <w:r>
              <w:t>—</w:t>
            </w:r>
          </w:p>
        </w:tc>
      </w:tr>
      <w:tr w14:paraId="472DBB8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09A576A8">
            <w:pPr>
              <w:adjustRightInd w:val="0"/>
              <w:snapToGrid w:val="0"/>
              <w:ind w:firstLine="0" w:firstLineChars="0"/>
              <w:jc w:val="center"/>
            </w:pPr>
            <w:r>
              <w:t>IR</w:t>
            </w:r>
          </w:p>
        </w:tc>
        <w:tc>
          <w:tcPr>
            <w:tcW w:w="6520" w:type="dxa"/>
            <w:vAlign w:val="center"/>
          </w:tcPr>
          <w:p w14:paraId="2BC5BB5D">
            <w:pPr>
              <w:adjustRightInd w:val="0"/>
              <w:snapToGrid w:val="0"/>
              <w:ind w:firstLine="0" w:firstLineChars="0"/>
              <w:jc w:val="center"/>
            </w:pPr>
            <w:r>
              <w:t>内阻字段</w:t>
            </w:r>
          </w:p>
        </w:tc>
        <w:tc>
          <w:tcPr>
            <w:tcW w:w="783" w:type="dxa"/>
            <w:vAlign w:val="center"/>
          </w:tcPr>
          <w:p w14:paraId="5BB19854">
            <w:pPr>
              <w:adjustRightInd w:val="0"/>
              <w:snapToGrid w:val="0"/>
              <w:ind w:firstLine="0" w:firstLineChars="0"/>
              <w:jc w:val="center"/>
            </w:pPr>
            <w:r>
              <w:t>Ω</w:t>
            </w:r>
          </w:p>
        </w:tc>
      </w:tr>
      <w:tr w14:paraId="17D5BD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D0EBC73">
            <w:pPr>
              <w:adjustRightInd w:val="0"/>
              <w:snapToGrid w:val="0"/>
              <w:ind w:firstLine="0" w:firstLineChars="0"/>
              <w:jc w:val="center"/>
            </w:pPr>
            <w:r>
              <w:t>t_chg</w:t>
            </w:r>
          </w:p>
        </w:tc>
        <w:tc>
          <w:tcPr>
            <w:tcW w:w="6520" w:type="dxa"/>
            <w:vAlign w:val="center"/>
          </w:tcPr>
          <w:p w14:paraId="39608D4D">
            <w:pPr>
              <w:adjustRightInd w:val="0"/>
              <w:snapToGrid w:val="0"/>
              <w:ind w:firstLine="0" w:firstLineChars="0"/>
              <w:jc w:val="center"/>
            </w:pPr>
            <w:r>
              <w:t>实测充电时间（chargetime）</w:t>
            </w:r>
          </w:p>
        </w:tc>
        <w:tc>
          <w:tcPr>
            <w:tcW w:w="783" w:type="dxa"/>
            <w:vAlign w:val="center"/>
          </w:tcPr>
          <w:p w14:paraId="481990D3">
            <w:pPr>
              <w:adjustRightInd w:val="0"/>
              <w:snapToGrid w:val="0"/>
              <w:ind w:firstLine="0" w:firstLineChars="0"/>
              <w:jc w:val="center"/>
            </w:pPr>
            <w:r>
              <w:t>min</w:t>
            </w:r>
          </w:p>
        </w:tc>
      </w:tr>
    </w:tbl>
    <w:p w14:paraId="01EFA710">
      <w:pPr>
        <w:keepNext w:val="0"/>
        <w:keepLines w:val="0"/>
        <w:widowControl/>
        <w:suppressLineNumbers w:val="0"/>
        <w:jc w:val="left"/>
      </w:pPr>
      <w:r>
        <w:rPr>
          <w:rFonts w:hint="eastAsia" w:ascii="宋体" w:hAnsi="宋体" w:eastAsia="宋体" w:cs="宋体"/>
          <w:color w:val="000000"/>
          <w:kern w:val="0"/>
          <w:sz w:val="24"/>
          <w:szCs w:val="24"/>
          <w:lang w:val="en-US" w:eastAsia="zh-CN" w:bidi="ar"/>
        </w:rPr>
        <w:t>注：未声明的变量以其在符号出现处的具体说明为准。</w:t>
      </w:r>
    </w:p>
    <w:p w14:paraId="42787741">
      <w:pPr>
        <w:ind w:firstLine="480"/>
      </w:pPr>
    </w:p>
    <w:p w14:paraId="18580D17">
      <w:pPr>
        <w:pStyle w:val="2"/>
      </w:pPr>
      <w:bookmarkStart w:id="6" w:name="_Toc57576283"/>
      <w:r>
        <w:rPr>
          <w:rFonts w:hint="eastAsia"/>
          <w:lang w:val="en-US" w:eastAsia="zh-CN"/>
        </w:rPr>
        <w:t>数据审计与预处理</w:t>
      </w:r>
    </w:p>
    <w:p w14:paraId="51B5F41B">
      <w:pPr>
        <w:bidi w:val="0"/>
        <w:rPr>
          <w:rFonts w:hint="default"/>
          <w:lang w:val="en-US" w:eastAsia="zh-CN"/>
        </w:rPr>
      </w:pPr>
      <w:r>
        <w:rPr>
          <w:rFonts w:hint="eastAsia"/>
          <w:lang w:val="en-US" w:eastAsia="zh-CN"/>
        </w:rPr>
        <w:t>数据预处理的目标是建立可复现、可追溯且不泄漏的电芯级视图。原始三个 MAT 文件保持只读；文献 Table 9 提供官方寿命与策略对齐信息。所有派生表、掩码和图表均由脚本另存。</w:t>
      </w:r>
      <w:r/>
      <w:r>
        <w:rPr>
          <w:rFonts w:hint="eastAsia"/>
          <w:lang w:val="en-US" w:eastAsia="zh-CN"/>
        </w:rPr>
      </w:r>
    </w:p>
    <w:p w14:paraId="414C8C66">
      <w:pPr>
        <w:pStyle w:val="3"/>
        <w:bidi w:val="0"/>
        <w:rPr>
          <w:rFonts w:hint="default"/>
          <w:lang w:val="en-US" w:eastAsia="zh-CN"/>
        </w:rPr>
      </w:pPr>
      <w:r>
        <w:rPr>
          <w:rFonts w:hint="eastAsia"/>
          <w:lang w:val="en-US" w:eastAsia="zh-CN"/>
        </w:rPr>
        <w:t>物理主键、续测片段与官方标签</w:t>
      </w:r>
    </w:p>
    <w:p w14:paraId="4F82BABE">
      <w:pPr>
        <w:rPr>
          <w:rFonts w:ascii="宋体" w:hAnsi="宋体" w:eastAsia="宋体" w:cs="宋体"/>
          <w:sz w:val="24"/>
          <w:szCs w:val="24"/>
        </w:rPr>
      </w:pPr>
      <w:r>
        <w:rPr>
          <w:rFonts w:hint="eastAsia"/>
          <w:lang w:val="en-US" w:eastAsia="zh-CN"/>
        </w:rPr>
        <w:t>三个原始批次共包含 140 条记录。以条码为主键拼接续测片段后，得到 124 个物理电芯；5 个续测片段并入相同物理电芯，11 个未进入 Table 9 的本地记录保留审计证据但不进入正式寿命分析。</w:t>
      </w:r>
      <w:r>
        <w:rPr>
          <w:rFonts w:hint="eastAsia"/>
          <w:vertAlign w:val="superscript"/>
          <w:lang w:val="en-US" w:eastAsia="zh-CN"/>
        </w:rPr>
      </w:r>
      <w:r>
        <w:rPr>
          <w:rFonts w:hint="eastAsia"/>
          <w:lang w:val="en-US" w:eastAsia="zh-CN"/>
        </w:rPr>
      </w:r>
      <w:r>
        <w:rPr>
          <w:rFonts w:ascii="宋体" w:hAnsi="宋体" w:eastAsia="宋体" w:cs="宋体"/>
          <w:sz w:val="24"/>
          <w:szCs w:val="24"/>
        </w:rPr>
      </w:r>
    </w:p>
    <w:p w14:paraId="48F5F7AE">
      <w:pPr>
        <w:jc w:val="left"/>
        <w:rPr>
          <w:rFonts w:hint="eastAsia" w:ascii="宋体" w:hAnsi="宋体" w:cs="宋体"/>
          <w:sz w:val="24"/>
          <w:szCs w:val="24"/>
          <w:lang w:val="en-US" w:eastAsia="zh-CN"/>
        </w:rPr>
      </w:pPr>
      <w:r>
        <w:rPr>
          <w:rFonts w:hint="eastAsia" w:ascii="宋体" w:hAnsi="宋体" w:cs="宋体"/>
          <w:sz w:val="24"/>
          <w:szCs w:val="24"/>
          <w:lang w:val="en-US" w:eastAsia="zh-CN"/>
        </w:rPr>
        <w:t>寿命标签不由本地序号截断推断，而使用 Table 9 的官方 `cycle_life`。策略参数、批次和寿命通过条码一对一对齐，并保留每条合并与排除记录的证据。</w:t>
      </w:r>
      <w:r>
        <w:rPr>
          <w:rFonts w:ascii="宋体" w:hAnsi="宋体" w:eastAsia="宋体" w:cs="宋体"/>
          <w:sz w:val="24"/>
          <w:szCs w:val="24"/>
        </w:rPr>
      </w:r>
      <w:r>
        <w:rPr>
          <w:rFonts w:hint="eastAsia" w:ascii="宋体" w:hAnsi="宋体" w:cs="宋体"/>
          <w:sz w:val="24"/>
          <w:szCs w:val="24"/>
          <w:lang w:eastAsia="zh-CN"/>
        </w:rPr>
      </w:r>
      <w:r>
        <w:rPr>
          <w:rFonts w:hint="eastAsia" w:ascii="宋体" w:hAnsi="宋体" w:cs="宋体"/>
          <w:sz w:val="24"/>
          <w:szCs w:val="24"/>
          <w:lang w:val="en-US" w:eastAsia="zh-CN"/>
        </w:rPr>
      </w:r>
      <w:r>
        <w:rPr>
          <w:rFonts w:ascii="宋体" w:hAnsi="宋体" w:eastAsia="宋体" w:cs="宋体"/>
          <w:sz w:val="24"/>
          <w:szCs w:val="24"/>
        </w:rPr>
      </w:r>
      <w:r>
        <w:rPr>
          <w:rFonts w:hint="eastAsia" w:ascii="宋体" w:hAnsi="宋体" w:cs="宋体"/>
          <w:sz w:val="24"/>
          <w:szCs w:val="24"/>
          <w:lang w:eastAsia="zh-CN"/>
        </w:rPr>
      </w:r>
      <w:r>
        <w:rPr>
          <w:rFonts w:hint="eastAsia" w:ascii="宋体" w:hAnsi="宋体" w:cs="宋体"/>
          <w:sz w:val="24"/>
          <w:szCs w:val="24"/>
          <w:lang w:val="en-US" w:eastAsia="zh-CN"/>
        </w:rPr>
      </w:r>
      <w:r>
        <w:rPr>
          <w:rFonts w:ascii="宋体" w:hAnsi="宋体" w:eastAsia="宋体" w:cs="宋体"/>
          <w:sz w:val="24"/>
          <w:szCs w:val="24"/>
        </w:rPr>
      </w:r>
      <w:r>
        <w:rPr>
          <w:rFonts w:hint="eastAsia" w:ascii="宋体" w:hAnsi="宋体" w:cs="宋体"/>
          <w:sz w:val="24"/>
          <w:szCs w:val="24"/>
          <w:lang w:eastAsia="zh-CN"/>
        </w:rPr>
      </w:r>
      <w:r>
        <w:rPr>
          <w:rFonts w:hint="eastAsia" w:ascii="宋体" w:hAnsi="宋体" w:cs="宋体"/>
          <w:sz w:val="24"/>
          <w:szCs w:val="24"/>
          <w:lang w:val="en-US" w:eastAsia="zh-CN"/>
        </w:rPr>
      </w:r>
    </w:p>
    <w:p w14:paraId="23712089">
      <w:pPr>
        <w:jc w:val="center"/>
      </w:pPr>
      <w:r>
        <w:t>字段—循环深层掩码</w:t>
      </w:r>
    </w:p>
    <w:p w14:paraId="17348059">
      <w:pPr>
        <w:jc w:val="left"/>
        <w:rPr>
          <w:rFonts w:hint="eastAsia"/>
          <w:lang w:val="en-US" w:eastAsia="zh-CN"/>
        </w:rPr>
      </w:pPr>
      <w:r>
        <w:rPr>
          <w:rFonts w:hint="eastAsia"/>
          <w:lang w:val="en-US" w:eastAsia="zh-CN"/>
        </w:rPr>
        <w:t>对 t、Qc、I、V、T、Qd 逐字段检查长度一致性、NaN/Inf、时间倒序和物理边界。任何异常只屏蔽受影响字段或循环，不因少数局部异常删除整枚电芯。</w:t>
      </w:r>
      <w:r>
        <w:rPr>
          <w:rFonts w:hint="eastAsia"/>
          <w:vertAlign w:val="subscript"/>
          <w:lang w:val="en-US" w:eastAsia="zh-CN"/>
        </w:rPr>
      </w:r>
      <w:r>
        <w:rPr>
          <w:rFonts w:hint="eastAsia"/>
          <w:vertAlign w:val="baseline"/>
          <w:lang w:val="en-US" w:eastAsia="zh-CN"/>
        </w:rPr>
      </w:r>
      <w:r>
        <w:rPr>
          <w:rFonts w:ascii="宋体" w:hAnsi="宋体" w:eastAsia="宋体" w:cs="宋体"/>
          <w:sz w:val="24"/>
          <w:szCs w:val="24"/>
        </w:rPr>
      </w:r>
      <w:r>
        <w:rPr>
          <w:rFonts w:hint="eastAsia"/>
          <w:lang w:val="en-US" w:eastAsia="zh-CN"/>
        </w:rPr>
      </w:r>
      <w:r>
        <w:rPr>
          <w:rFonts w:ascii="宋体" w:hAnsi="宋体" w:eastAsia="宋体" w:cs="宋体"/>
          <w:sz w:val="24"/>
          <w:szCs w:val="24"/>
        </w:rPr>
      </w:r>
      <w:r>
        <w:rPr>
          <w:rFonts w:ascii="Times New Roman" w:hAnsi="Times New Roman" w:eastAsia="宋体" w:cs="Times New Roman"/>
          <w:i/>
          <w:iCs/>
          <w:kern w:val="0"/>
          <w:sz w:val="24"/>
          <w:szCs w:val="24"/>
        </w:rPr>
      </w:r>
      <w:r>
        <w:rPr>
          <w:rFonts w:hint="eastAsia" w:cs="Times New Roman"/>
          <w:i/>
          <w:iCs/>
          <w:kern w:val="0"/>
          <w:sz w:val="24"/>
          <w:szCs w:val="24"/>
          <w:vertAlign w:val="subscript"/>
          <w:lang w:val="en-US" w:eastAsia="zh-CN"/>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ascii="宋体" w:hAnsi="宋体" w:eastAsia="宋体" w:cs="宋体"/>
          <w:sz w:val="24"/>
          <w:szCs w:val="24"/>
        </w:rPr>
      </w:r>
    </w:p>
    <w:p w14:paraId="13A05859">
      <w:pPr>
        <w:pStyle w:val="3"/>
        <w:bidi w:val="0"/>
        <w:rPr>
          <w:rFonts w:hint="default"/>
          <w:lang w:val="en-US" w:eastAsia="zh-CN"/>
        </w:rPr>
      </w:pPr>
      <w:r>
        <w:rPr>
          <w:rFonts w:hint="eastAsia"/>
          <w:lang w:val="en-US" w:eastAsia="zh-CN"/>
        </w:rPr>
        <w:t>用于原始曲线的低维特征只取同时通过六字段审计的循环，并仅在 I&gt;0.1 A 的充电点提取电压统计量；不对原始曲线静默插补。</w:t>
      </w:r>
    </w:p>
    <w:p w14:paraId="4863170B">
      <w:pPr>
        <w:rPr>
          <w:rFonts w:hint="default"/>
          <w:lang w:val="en-US" w:eastAsia="zh-CN"/>
        </w:rPr>
      </w:pPr>
      <w:r>
        <w:rPr>
          <w:rFonts w:hint="default"/>
          <w:lang w:val="en-US" w:eastAsia="zh-CN"/>
        </w:rPr>
        <w:t>数据分区与泄漏控制</w:t>
      </w:r>
    </w:p>
    <w:p w14:paraId="2F47F84E">
      <w:pPr>
        <w:rPr>
          <w:rFonts w:hint="default"/>
          <w:lang w:val="en-US" w:eastAsia="zh-CN"/>
        </w:rPr>
      </w:pPr>
      <w:r>
        <w:rPr>
          <w:rFonts w:hint="eastAsia"/>
          <w:lang w:val="en-US" w:eastAsia="zh-CN"/>
        </w:rPr>
        <w:t>Train、Primary、Secondary 分别含 41、43、40 个物理电芯。Q2/Q3 的模型选择、超参数搜索、标准化和 bootstrap 只读取 Train；Primary 只按冻结规则做一次受限观察，Secondary 留作最终独立压力测试。</w:t>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42010D18">
      <w:pPr>
        <w:jc w:val="center"/>
        <w:rPr>
          <w:rFonts w:hint="default"/>
          <w:lang w:val="en-US" w:eastAsia="zh-CN"/>
        </w:rPr>
      </w:pPr>
      <w:r>
        <w:t>所有预测比较按 `policy_table9` 分组，避免相同策略同时出现在训练和测试折中。每个外层折内独立完成缺失处理、标准化、正则化选择及 SOH 模板构造。</w:t>
      </w:r>
    </w:p>
    <w:p w14:paraId="1DBEBE3B">
      <w:pPr>
        <w:rPr>
          <w:rFonts w:ascii="宋体" w:hAnsi="宋体" w:eastAsia="宋体" w:cs="宋体"/>
          <w:sz w:val="24"/>
          <w:szCs w:val="24"/>
        </w:rPr>
      </w:pPr>
      <w:r>
        <w:rPr>
          <w:rFonts w:ascii="宋体" w:hAnsi="宋体" w:eastAsia="宋体" w:cs="宋体"/>
          <w:sz w:val="24"/>
          <w:szCs w:val="24"/>
        </w:rPr>
        <w:t>寿命与 SOH 指标</w:t>
      </w:r>
    </w:p>
    <w:p w14:paraId="54632571">
      <w:pPr>
        <w:rPr>
          <w:rFonts w:hint="eastAsia" w:ascii="宋体" w:hAnsi="宋体" w:cs="宋体"/>
          <w:sz w:val="24"/>
          <w:szCs w:val="24"/>
          <w:lang w:val="en-US" w:eastAsia="zh-CN"/>
        </w:rPr>
      </w:pPr>
      <w:r>
        <w:rPr>
          <w:rFonts w:hint="eastAsia" w:ascii="宋体" w:hAnsi="宋体" w:cs="宋体"/>
          <w:sz w:val="24"/>
          <w:szCs w:val="24"/>
          <w:lang w:val="en-US" w:eastAsia="zh-CN"/>
        </w:rPr>
        <w:t>寿命预测在 z=ln(L) 尺度计算 RMSE_log 和 MAE_log，再以 exp 反变换为循环寿命。字段名中的 log 为历史兼容名称，均不表示 log10。</w:t>
      </w:r>
    </w:p>
    <w:p w14:paraId="2ABE40BD">
      <w:pPr>
        <w:jc w:val="center"/>
      </w:pPr>
      <w:r>
        <w:t>未来 SOH 误差按电芯先计算再等权汇总，避免单个寿命很长的电芯因循环点更多而主导评价。</w:t>
      </w:r>
    </w:p>
    <w:p w14:paraId="1A6C9E64">
      <w:pPr>
        <w:jc w:val="left"/>
        <w:rPr>
          <w:rFonts w:hint="eastAsia"/>
          <w:lang w:val="en-US" w:eastAsia="zh-CN"/>
        </w:rPr>
      </w:pPr>
      <w:r>
        <w:rPr>
          <w:rFonts w:hint="eastAsia"/>
          <w:lang w:val="en-US" w:eastAsia="zh-CN"/>
        </w:rPr>
        <w:t>早期窗口与特征范围</w:t>
      </w:r>
    </w:p>
    <w:p w14:paraId="7F161261">
      <w:pPr>
        <w:jc w:val="center"/>
      </w:pPr>
      <w:r>
        <w:t>窗口 k∈{5,10,20,50,100}。当 k=5 时，实际可用的是 cycle 2–5 的 4 个循环点；特征包括容量、内阻、温度、充电时间的汇总、斜率与变化量。</w:t>
      </w:r>
    </w:p>
    <w:p w14:paraId="1CDCA672">
      <w:pPr>
        <w:jc w:val="left"/>
        <w:rPr>
          <w:rFonts w:hint="default"/>
          <w:lang w:val="en-US" w:eastAsia="zh-CN"/>
        </w:rPr>
      </w:pPr>
      <w:r>
        <w:rPr>
          <w:rFonts w:hint="eastAsia"/>
          <w:lang w:val="en-US" w:eastAsia="zh-CN"/>
        </w:rPr>
        <w:t>RAW challenger 另行加入三个经审计的充电电压特征，不与主线的汇总特征混淆。它只服务于最早筛查候选比较，不能据此自动宣称寿命预测已稳健优于基线。</w:t>
      </w:r>
      <w:r>
        <w:rPr>
          <w:rFonts w:hint="default"/>
          <w:lang w:val="en-US" w:eastAsia="zh-CN"/>
        </w:rPr>
      </w:r>
      <w:r>
        <w:rPr>
          <w:rFonts w:hint="eastAsia"/>
          <w:lang w:val="en-US" w:eastAsia="zh-CN"/>
        </w:rPr>
      </w:r>
      <w:r>
        <w:rPr>
          <w:rFonts w:hint="default"/>
          <w:lang w:val="en-US" w:eastAsia="zh-CN"/>
        </w:rPr>
      </w:r>
    </w:p>
    <w:p w14:paraId="00164FDB">
      <w:pPr>
        <w:pStyle w:val="3"/>
        <w:bidi w:val="0"/>
        <w:rPr>
          <w:rFonts w:hint="default"/>
          <w:lang w:val="en-US" w:eastAsia="zh-CN"/>
        </w:rPr>
      </w:pPr>
      <w:r>
        <w:rPr>
          <w:rFonts w:hint="eastAsia"/>
          <w:lang w:val="en-US" w:eastAsia="zh-CN"/>
        </w:rPr>
        <w:t>开发状态与后续锁定</w:t>
      </w:r>
    </w:p>
    <w:p w14:paraId="00BE2524">
      <w:pPr>
        <w:rPr>
          <w:rFonts w:ascii="宋体" w:hAnsi="宋体" w:eastAsia="宋体" w:cs="宋体"/>
          <w:sz w:val="24"/>
          <w:szCs w:val="24"/>
        </w:rPr>
      </w:pPr>
      <w:r>
        <w:rPr>
          <w:rFonts w:ascii="宋体" w:hAnsi="宋体" w:eastAsia="宋体" w:cs="宋体"/>
          <w:sz w:val="24"/>
          <w:szCs w:val="24"/>
        </w:rPr>
        <w:t>当前已完成 P0 深层审计、Q1 描述性重抽样、Q2 策略代理比较、Q3 联合/曲线增强候选比较，以及 Q4 已有策略的开发池敏感性分析。以下流程图仅说明证据流与状态，不是最终推荐图。</w:t>
      </w:r>
    </w:p>
    <w:p w14:paraId="611F497A">
      <w:pPr>
        <w:rPr>
          <w:rFonts w:ascii="宋体" w:hAnsi="宋体" w:eastAsia="宋体" w:cs="宋体"/>
          <w:sz w:val="24"/>
          <w:szCs w:val="24"/>
        </w:rPr>
      </w:pPr>
      <w:r>
        <w:rPr>
          <w:rFonts w:ascii="宋体" w:hAnsi="宋体" w:eastAsia="宋体" w:cs="宋体"/>
          <w:sz w:val="24"/>
          <w:szCs w:val="24"/>
        </w:rPr>
        <w:t>首先，对循环统计字段进行联合检测。当某一次循环满足</w:t>
      </w:r>
    </w:p>
    <w:p w14:paraId="1C08E7F1">
      <w:pPr>
        <w:jc w:val="center"/>
      </w:pPr>
      <w:r>
        <w:drawing>
          <wp:inline distT="0" distB="0" distL="114300" distR="114300">
            <wp:extent cx="3934460" cy="279400"/>
            <wp:effectExtent l="0" t="0" r="254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9"/>
                    <a:stretch>
                      <a:fillRect/>
                    </a:stretch>
                  </pic:blipFill>
                  <pic:spPr>
                    <a:xfrm>
                      <a:off x="0" y="0"/>
                      <a:ext cx="3934460" cy="279400"/>
                    </a:xfrm>
                    <a:prstGeom prst="rect">
                      <a:avLst/>
                    </a:prstGeom>
                    <a:noFill/>
                    <a:ln>
                      <a:noFill/>
                    </a:ln>
                  </pic:spPr>
                </pic:pic>
              </a:graphicData>
            </a:graphic>
          </wp:inline>
        </w:drawing>
      </w:r>
    </w:p>
    <w:p w14:paraId="19106C21">
      <w:pPr>
        <w:jc w:val="left"/>
        <w:rPr>
          <w:rFonts w:ascii="宋体" w:hAnsi="宋体" w:eastAsia="宋体" w:cs="宋体"/>
          <w:sz w:val="24"/>
          <w:szCs w:val="24"/>
        </w:rPr>
      </w:pPr>
      <w:r>
        <w:rPr>
          <w:rFonts w:ascii="宋体" w:hAnsi="宋体" w:eastAsia="宋体" w:cs="宋体"/>
          <w:sz w:val="24"/>
          <w:szCs w:val="24"/>
        </w:rPr>
        <w:t>则认为该循环属于结构性占位记录。共检测到41条此类记录，原始数据仍予以保留，但不参与后续特征计算。</w:t>
      </w:r>
    </w:p>
    <w:p w14:paraId="6F9D94C0">
      <w:pPr>
        <w:jc w:val="left"/>
        <w:rPr>
          <w:rFonts w:hint="eastAsia" w:ascii="宋体" w:hAnsi="宋体" w:cs="宋体"/>
          <w:sz w:val="24"/>
          <w:szCs w:val="24"/>
          <w:lang w:eastAsia="zh-CN"/>
        </w:rPr>
      </w:pPr>
      <w:r>
        <w:rPr>
          <w:rFonts w:ascii="宋体" w:hAnsi="宋体" w:eastAsia="宋体" w:cs="宋体"/>
          <w:sz w:val="24"/>
          <w:szCs w:val="24"/>
        </w:rPr>
        <w:t>其次，对充电时间字段进行异常检测。考虑到异常判断不应依赖寿命标签，本文采用无监督统计方法，以有效数据中充电时间第99百分位数的5倍作为远端异常判断阈值</w:t>
      </w:r>
      <w:r>
        <w:rPr>
          <w:rFonts w:hint="eastAsia" w:ascii="宋体" w:hAnsi="宋体" w:cs="宋体"/>
          <w:sz w:val="24"/>
          <w:szCs w:val="24"/>
          <w:lang w:eastAsia="zh-CN"/>
        </w:rPr>
        <w:t>。共检测到14条异常循环。异常数据不直接删除，而是在特征计算过程中进行屏蔽。</w:t>
      </w:r>
    </w:p>
    <w:p w14:paraId="3E6B6634">
      <w:pPr>
        <w:jc w:val="left"/>
        <w:rPr>
          <w:rFonts w:hint="eastAsia" w:ascii="宋体" w:hAnsi="宋体" w:cs="宋体"/>
          <w:sz w:val="24"/>
          <w:szCs w:val="24"/>
          <w:lang w:eastAsia="zh-CN"/>
        </w:rPr>
      </w:pPr>
      <w:r>
        <w:rPr>
          <w:rFonts w:hint="eastAsia" w:ascii="宋体" w:hAnsi="宋体" w:cs="宋体"/>
          <w:sz w:val="24"/>
          <w:szCs w:val="24"/>
          <w:lang w:eastAsia="zh-CN"/>
        </w:rPr>
        <w:t>此外，模型训练过程中涉及的异常阈值、数据标准化参数等均仅利用训练集确定，并保持在验证集和测试集中的一致性，从而避免数据处理过程引入信息泄漏。</w:t>
      </w:r>
    </w:p>
    <w:p w14:paraId="4AF3DBF9">
      <w:pPr>
        <w:pStyle w:val="3"/>
        <w:bidi w:val="0"/>
        <w:rPr>
          <w:rFonts w:hint="default"/>
          <w:lang w:val="en-US" w:eastAsia="zh-CN"/>
        </w:rPr>
      </w:pPr>
      <w:r>
        <w:rPr>
          <w:rFonts w:hint="eastAsia"/>
          <w:lang w:val="en-US" w:eastAsia="zh-CN"/>
        </w:rPr>
        <w:t>健康状态指标构造</w:t>
      </w:r>
    </w:p>
    <w:p w14:paraId="10DB7F15">
      <w:pPr>
        <w:rPr>
          <w:rFonts w:ascii="宋体" w:hAnsi="宋体" w:eastAsia="宋体" w:cs="宋体"/>
          <w:sz w:val="24"/>
          <w:szCs w:val="24"/>
        </w:rPr>
      </w:pPr>
      <w:r>
        <w:rPr>
          <w:rFonts w:ascii="宋体" w:hAnsi="宋体" w:eastAsia="宋体" w:cs="宋体"/>
          <w:sz w:val="24"/>
          <w:szCs w:val="24"/>
        </w:rPr>
        <w:t>为描述电芯容量随循环次数变化的衰减规律，本文构造两类健康状态指标。</w:t>
      </w:r>
    </w:p>
    <w:p w14:paraId="23933E7B">
      <w:pPr>
        <w:rPr>
          <w:rFonts w:hint="default" w:ascii="宋体" w:hAnsi="宋体" w:eastAsia="宋体" w:cs="宋体"/>
          <w:sz w:val="24"/>
          <w:szCs w:val="24"/>
          <w:lang w:val="en-US" w:eastAsia="zh-CN"/>
        </w:rPr>
      </w:pPr>
      <w:r>
        <w:rPr>
          <w:rFonts w:hint="eastAsia" w:ascii="宋体" w:hAnsi="宋体" w:cs="宋体"/>
          <w:sz w:val="24"/>
          <w:szCs w:val="24"/>
          <w:lang w:val="en-US" w:eastAsia="zh-CN"/>
        </w:rPr>
        <w:t>首先，</w:t>
      </w:r>
      <w:r>
        <w:rPr>
          <w:rFonts w:ascii="宋体" w:hAnsi="宋体" w:eastAsia="宋体" w:cs="宋体"/>
          <w:sz w:val="24"/>
          <w:szCs w:val="24"/>
        </w:rPr>
        <w:t>以第2循环放电容量作为电芯自身初始容量基准，定义相对健康状态</w:t>
      </w:r>
    </w:p>
    <w:p w14:paraId="07EA1F8D">
      <w:pPr>
        <w:jc w:val="center"/>
      </w:pPr>
      <w:r>
        <w:drawing>
          <wp:inline distT="0" distB="0" distL="114300" distR="114300">
            <wp:extent cx="1951990" cy="4826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0"/>
                    <a:stretch>
                      <a:fillRect/>
                    </a:stretch>
                  </pic:blipFill>
                  <pic:spPr>
                    <a:xfrm>
                      <a:off x="0" y="0"/>
                      <a:ext cx="1951990" cy="482600"/>
                    </a:xfrm>
                    <a:prstGeom prst="rect">
                      <a:avLst/>
                    </a:prstGeom>
                    <a:noFill/>
                    <a:ln>
                      <a:noFill/>
                    </a:ln>
                  </pic:spPr>
                </pic:pic>
              </a:graphicData>
            </a:graphic>
          </wp:inline>
        </w:drawing>
      </w:r>
    </w:p>
    <w:p w14:paraId="60E28595">
      <w:pPr>
        <w:jc w:val="left"/>
        <w:rPr>
          <w:rFonts w:hint="eastAsia"/>
          <w:lang w:val="en-US" w:eastAsia="zh-CN"/>
        </w:rPr>
      </w:pPr>
      <w:r>
        <w:rPr>
          <w:rFonts w:hint="eastAsia"/>
          <w:lang w:val="en-US" w:eastAsia="zh-CN"/>
        </w:rPr>
        <w:t>该指标能够消除不同电芯初始容量差异，主要用于比较不同电芯之间的退化趋势。</w:t>
      </w:r>
    </w:p>
    <w:p w14:paraId="69D111C0">
      <w:pPr>
        <w:jc w:val="left"/>
        <w:rPr>
          <w:rFonts w:hint="default"/>
          <w:lang w:val="en-US" w:eastAsia="zh-CN"/>
        </w:rPr>
      </w:pPr>
      <w:r>
        <w:rPr>
          <w:rFonts w:hint="eastAsia"/>
          <w:lang w:val="en-US" w:eastAsia="zh-CN"/>
        </w:rPr>
        <w:t>其次，根据电芯额定容量1.1Ah，定义额定健康状态</w:t>
      </w:r>
    </w:p>
    <w:p w14:paraId="43C77B9B">
      <w:pPr>
        <w:jc w:val="center"/>
      </w:pPr>
      <w:r>
        <w:drawing>
          <wp:inline distT="0" distB="0" distL="114300" distR="114300">
            <wp:extent cx="1928495" cy="466090"/>
            <wp:effectExtent l="0" t="0" r="190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1"/>
                    <a:stretch>
                      <a:fillRect/>
                    </a:stretch>
                  </pic:blipFill>
                  <pic:spPr>
                    <a:xfrm>
                      <a:off x="0" y="0"/>
                      <a:ext cx="1928495" cy="466090"/>
                    </a:xfrm>
                    <a:prstGeom prst="rect">
                      <a:avLst/>
                    </a:prstGeom>
                    <a:noFill/>
                    <a:ln>
                      <a:noFill/>
                    </a:ln>
                  </pic:spPr>
                </pic:pic>
              </a:graphicData>
            </a:graphic>
          </wp:inline>
        </w:drawing>
      </w:r>
    </w:p>
    <w:p w14:paraId="73FB8884">
      <w:pPr>
        <w:rPr>
          <w:rFonts w:ascii="宋体" w:hAnsi="宋体" w:eastAsia="宋体" w:cs="宋体"/>
          <w:sz w:val="24"/>
          <w:szCs w:val="24"/>
        </w:rPr>
      </w:pPr>
      <w:r>
        <w:rPr>
          <w:rFonts w:ascii="宋体" w:hAnsi="宋体" w:eastAsia="宋体" w:cs="宋体"/>
          <w:sz w:val="24"/>
          <w:szCs w:val="24"/>
        </w:rPr>
        <w:t>该指标用于描述当前容量相对于额定容量的衰减程度，可辅助分析电芯寿命终止附近的容量变化规律。</w:t>
      </w:r>
    </w:p>
    <w:p w14:paraId="77E258E1">
      <w:pPr>
        <w:pStyle w:val="3"/>
        <w:bidi w:val="0"/>
        <w:rPr>
          <w:rFonts w:hint="default"/>
          <w:lang w:val="en-US" w:eastAsia="zh-CN"/>
        </w:rPr>
      </w:pPr>
      <w:r>
        <w:rPr>
          <w:rFonts w:hint="eastAsia"/>
          <w:lang w:val="en-US" w:eastAsia="zh-CN"/>
        </w:rPr>
        <w:t>特征数据构建</w:t>
      </w:r>
    </w:p>
    <w:p w14:paraId="6220F1B2">
      <w:pPr>
        <w:rPr>
          <w:rFonts w:ascii="宋体" w:hAnsi="宋体" w:eastAsia="宋体" w:cs="宋体"/>
          <w:sz w:val="24"/>
          <w:szCs w:val="24"/>
        </w:rPr>
      </w:pPr>
      <w:r>
        <w:rPr>
          <w:rFonts w:ascii="宋体" w:hAnsi="宋体" w:eastAsia="宋体" w:cs="宋体"/>
          <w:sz w:val="24"/>
          <w:szCs w:val="24"/>
        </w:rPr>
        <w:t>完成数据整理和异常处理后，本文进一步构造用于寿命预测的特征数据集。</w:t>
      </w:r>
    </w:p>
    <w:p w14:paraId="2F3D4B24">
      <w:pPr>
        <w:rPr>
          <w:rFonts w:ascii="宋体" w:hAnsi="宋体" w:eastAsia="宋体" w:cs="宋体"/>
          <w:sz w:val="24"/>
          <w:szCs w:val="24"/>
        </w:rPr>
      </w:pPr>
      <w:r>
        <w:rPr>
          <w:rFonts w:ascii="宋体" w:hAnsi="宋体" w:eastAsia="宋体" w:cs="宋体"/>
          <w:sz w:val="24"/>
          <w:szCs w:val="24"/>
        </w:rPr>
        <w:t>考虑到实际寿命预测任务中只能利用电池运行早期阶段的信息，本文设置不同早期观测窗口：</w:t>
      </w:r>
    </w:p>
    <w:p w14:paraId="5A324769">
      <w:pPr>
        <w:jc w:val="center"/>
      </w:pPr>
      <w:r>
        <w:drawing>
          <wp:inline distT="0" distB="0" distL="114300" distR="114300">
            <wp:extent cx="1767840" cy="260350"/>
            <wp:effectExtent l="0" t="0" r="1016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2"/>
                    <a:stretch>
                      <a:fillRect/>
                    </a:stretch>
                  </pic:blipFill>
                  <pic:spPr>
                    <a:xfrm>
                      <a:off x="0" y="0"/>
                      <a:ext cx="1767840" cy="260350"/>
                    </a:xfrm>
                    <a:prstGeom prst="rect">
                      <a:avLst/>
                    </a:prstGeom>
                    <a:noFill/>
                    <a:ln>
                      <a:noFill/>
                    </a:ln>
                  </pic:spPr>
                </pic:pic>
              </a:graphicData>
            </a:graphic>
          </wp:inline>
        </w:drawing>
      </w:r>
    </w:p>
    <w:p w14:paraId="244DF50C">
      <w:pPr>
        <w:jc w:val="left"/>
        <w:rPr>
          <w:rFonts w:hint="eastAsia" w:ascii="宋体" w:hAnsi="宋体" w:cs="宋体"/>
          <w:sz w:val="24"/>
          <w:szCs w:val="24"/>
          <w:lang w:val="en-US" w:eastAsia="zh-CN"/>
        </w:rPr>
      </w:pPr>
      <w:r>
        <w:rPr>
          <w:rFonts w:ascii="宋体" w:hAnsi="宋体" w:eastAsia="宋体" w:cs="宋体"/>
          <w:sz w:val="24"/>
          <w:szCs w:val="24"/>
        </w:rPr>
        <w:t>其中，k表示模型可利用的最大循环次数。由于第1循环可能存在初始化过程影响，因此选取</w:t>
      </w:r>
      <w:r>
        <w:rPr>
          <w:rFonts w:hint="eastAsia" w:ascii="宋体" w:hAnsi="宋体" w:cs="宋体"/>
          <w:sz w:val="24"/>
          <w:szCs w:val="24"/>
          <w:lang w:val="en-US" w:eastAsia="zh-CN"/>
        </w:rPr>
        <w:t>2≤n≤k作为有效观测范围。</w:t>
      </w:r>
    </w:p>
    <w:p w14:paraId="6C0A733B">
      <w:pPr>
        <w:jc w:val="left"/>
        <w:rPr>
          <w:rFonts w:ascii="宋体" w:hAnsi="宋体" w:eastAsia="宋体" w:cs="宋体"/>
          <w:sz w:val="24"/>
          <w:szCs w:val="24"/>
        </w:rPr>
      </w:pPr>
      <w:r>
        <w:rPr>
          <w:rFonts w:hint="eastAsia" w:ascii="宋体" w:hAnsi="宋体" w:cs="宋体"/>
          <w:sz w:val="24"/>
          <w:szCs w:val="24"/>
          <w:lang w:val="en-US" w:eastAsia="zh-CN"/>
        </w:rPr>
        <w:t>在每个观测窗口内，针对放电容量、内阻、温度以及充电时间等关键退化指标进行特征提取。</w:t>
      </w:r>
      <w:r>
        <w:rPr>
          <w:rFonts w:ascii="宋体" w:hAnsi="宋体" w:eastAsia="宋体" w:cs="宋体"/>
          <w:sz w:val="24"/>
          <w:szCs w:val="24"/>
        </w:rPr>
        <w:t>考虑到电池老化过程主要表现为性能水平变化、退化速度变化以及循环稳定性变化，本文构造以下统计特征</w:t>
      </w:r>
    </w:p>
    <w:p w14:paraId="000AF5AE">
      <w:pPr>
        <w:jc w:val="left"/>
        <w:rPr>
          <w:rFonts w:hint="eastAsia" w:ascii="宋体" w:hAnsi="宋体" w:cs="宋体"/>
          <w:sz w:val="24"/>
          <w:szCs w:val="24"/>
          <w:lang w:val="en-US" w:eastAsia="zh-CN"/>
        </w:rPr>
      </w:pPr>
      <w:r>
        <w:rPr>
          <w:rFonts w:hint="eastAsia" w:ascii="宋体" w:hAnsi="宋体" w:cs="宋体"/>
          <w:sz w:val="24"/>
          <w:szCs w:val="24"/>
          <w:lang w:val="en-US" w:eastAsia="zh-CN"/>
        </w:rPr>
        <w:t>（1）状态水平特征</w:t>
      </w:r>
    </w:p>
    <w:p w14:paraId="77FBD900">
      <w:pPr>
        <w:jc w:val="left"/>
        <w:rPr>
          <w:rFonts w:ascii="宋体" w:hAnsi="宋体" w:eastAsia="宋体" w:cs="宋体"/>
          <w:sz w:val="24"/>
          <w:szCs w:val="24"/>
        </w:rPr>
      </w:pPr>
      <w:r>
        <w:rPr>
          <w:rFonts w:ascii="宋体" w:hAnsi="宋体" w:eastAsia="宋体" w:cs="宋体"/>
          <w:sz w:val="24"/>
          <w:szCs w:val="24"/>
        </w:rPr>
        <w:t>采用窗口内指标平均值描述电池早期整体性能：</w:t>
      </w:r>
    </w:p>
    <w:p w14:paraId="0599E809">
      <w:pPr>
        <w:jc w:val="center"/>
      </w:pPr>
      <w:r>
        <w:drawing>
          <wp:inline distT="0" distB="0" distL="114300" distR="114300">
            <wp:extent cx="1000125" cy="47625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3"/>
                    <a:stretch>
                      <a:fillRect/>
                    </a:stretch>
                  </pic:blipFill>
                  <pic:spPr>
                    <a:xfrm>
                      <a:off x="0" y="0"/>
                      <a:ext cx="1000125" cy="476250"/>
                    </a:xfrm>
                    <a:prstGeom prst="rect">
                      <a:avLst/>
                    </a:prstGeom>
                    <a:noFill/>
                    <a:ln>
                      <a:noFill/>
                    </a:ln>
                  </pic:spPr>
                </pic:pic>
              </a:graphicData>
            </a:graphic>
          </wp:inline>
        </w:drawing>
      </w:r>
    </w:p>
    <w:p w14:paraId="7E54B2B9">
      <w:pPr>
        <w:jc w:val="left"/>
        <w:rPr>
          <w:rFonts w:hint="eastAsia"/>
          <w:lang w:val="en-US" w:eastAsia="zh-CN"/>
        </w:rPr>
      </w:pPr>
      <w:r>
        <w:rPr>
          <w:rFonts w:hint="eastAsia"/>
          <w:lang w:val="en-US" w:eastAsia="zh-CN"/>
        </w:rPr>
        <w:t>x</w:t>
      </w:r>
      <w:r>
        <w:rPr>
          <w:rFonts w:hint="eastAsia"/>
          <w:vertAlign w:val="subscript"/>
          <w:lang w:val="en-US" w:eastAsia="zh-CN"/>
        </w:rPr>
        <w:t>n</w:t>
      </w:r>
      <w:r>
        <w:rPr>
          <w:rFonts w:hint="eastAsia"/>
          <w:lang w:val="en-US" w:eastAsia="zh-CN"/>
        </w:rPr>
        <w:t>表示第n次循环对应的状态参数。</w:t>
      </w:r>
    </w:p>
    <w:p w14:paraId="7A7AA7DF">
      <w:pPr>
        <w:jc w:val="left"/>
        <w:rPr>
          <w:rFonts w:hint="eastAsia"/>
          <w:lang w:val="en-US" w:eastAsia="zh-CN"/>
        </w:rPr>
      </w:pPr>
      <w:r>
        <w:rPr>
          <w:rFonts w:hint="eastAsia"/>
          <w:lang w:val="en-US" w:eastAsia="zh-CN"/>
        </w:rPr>
        <w:t>（2）退化趋势特征</w:t>
      </w:r>
    </w:p>
    <w:p w14:paraId="7D2BF9B2">
      <w:pPr>
        <w:jc w:val="left"/>
        <w:rPr>
          <w:rFonts w:ascii="宋体" w:hAnsi="宋体" w:eastAsia="宋体" w:cs="宋体"/>
          <w:sz w:val="24"/>
          <w:szCs w:val="24"/>
        </w:rPr>
      </w:pPr>
      <w:r>
        <w:rPr>
          <w:rFonts w:ascii="宋体" w:hAnsi="宋体" w:eastAsia="宋体" w:cs="宋体"/>
          <w:sz w:val="24"/>
          <w:szCs w:val="24"/>
        </w:rPr>
        <w:t>采用线性拟合计算指标随循环次数的变化趋势</w:t>
      </w:r>
      <w:r>
        <w:rPr>
          <w:rFonts w:hint="eastAsia" w:ascii="宋体" w:hAnsi="宋体" w:cs="宋体"/>
          <w:sz w:val="24"/>
          <w:szCs w:val="24"/>
          <w:lang w:eastAsia="zh-CN"/>
        </w:rPr>
        <w:t>。</w:t>
      </w:r>
      <w:r>
        <w:rPr>
          <w:rFonts w:hint="eastAsia" w:ascii="宋体" w:hAnsi="宋体" w:cs="宋体"/>
          <w:sz w:val="24"/>
          <w:szCs w:val="24"/>
          <w:lang w:val="en-US" w:eastAsia="zh-CN"/>
        </w:rPr>
        <w:t>下式K表示</w:t>
      </w:r>
      <w:r>
        <w:rPr>
          <w:rFonts w:ascii="宋体" w:hAnsi="宋体" w:eastAsia="宋体" w:cs="宋体"/>
          <w:sz w:val="24"/>
          <w:szCs w:val="24"/>
        </w:rPr>
        <w:t>该指标的退化速率，可用于反映容量衰减、内阻增长等长期变化规律。</w:t>
      </w:r>
    </w:p>
    <w:p w14:paraId="3A95F64B">
      <w:pPr>
        <w:jc w:val="center"/>
      </w:pPr>
      <w:r>
        <w:drawing>
          <wp:inline distT="0" distB="0" distL="114300" distR="114300">
            <wp:extent cx="1903730" cy="680720"/>
            <wp:effectExtent l="0" t="0" r="0" b="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4"/>
                    <a:stretch>
                      <a:fillRect/>
                    </a:stretch>
                  </pic:blipFill>
                  <pic:spPr>
                    <a:xfrm>
                      <a:off x="0" y="0"/>
                      <a:ext cx="1903730" cy="680720"/>
                    </a:xfrm>
                    <a:prstGeom prst="rect">
                      <a:avLst/>
                    </a:prstGeom>
                    <a:noFill/>
                    <a:ln>
                      <a:noFill/>
                    </a:ln>
                  </pic:spPr>
                </pic:pic>
              </a:graphicData>
            </a:graphic>
          </wp:inline>
        </w:drawing>
      </w:r>
    </w:p>
    <w:p w14:paraId="64027DC9">
      <w:pPr>
        <w:jc w:val="left"/>
        <w:rPr>
          <w:rFonts w:hint="default"/>
          <w:lang w:val="en-US" w:eastAsia="zh-CN"/>
        </w:rPr>
      </w:pPr>
      <w:r>
        <w:rPr>
          <w:rFonts w:hint="default"/>
          <w:lang w:val="en-US" w:eastAsia="zh-CN"/>
        </w:rPr>
        <w:t>（3）稳定性特征</w:t>
      </w:r>
    </w:p>
    <w:p w14:paraId="0EF540A5">
      <w:pPr>
        <w:jc w:val="left"/>
        <w:rPr>
          <w:rFonts w:hint="eastAsia" w:ascii="宋体" w:hAnsi="宋体" w:cs="宋体"/>
          <w:sz w:val="24"/>
          <w:szCs w:val="24"/>
          <w:lang w:val="en-US" w:eastAsia="zh-CN"/>
        </w:rPr>
      </w:pPr>
      <w:r>
        <w:rPr>
          <w:rFonts w:ascii="宋体" w:hAnsi="宋体" w:eastAsia="宋体" w:cs="宋体"/>
          <w:sz w:val="24"/>
          <w:szCs w:val="24"/>
        </w:rPr>
        <w:t>利用指标在早期循环中的波动程度描述电池状态稳定性</w:t>
      </w:r>
      <w:r>
        <w:rPr>
          <w:rFonts w:hint="eastAsia" w:ascii="宋体" w:hAnsi="宋体" w:cs="宋体"/>
          <w:sz w:val="24"/>
          <w:szCs w:val="24"/>
          <w:lang w:val="en-US" w:eastAsia="zh-CN"/>
        </w:rPr>
        <w:tab/>
      </w:r>
    </w:p>
    <w:p w14:paraId="08354C1F">
      <w:pPr>
        <w:jc w:val="center"/>
        <w:rPr>
          <w:rFonts w:hint="eastAsia" w:ascii="宋体" w:hAnsi="宋体" w:cs="宋体"/>
          <w:sz w:val="24"/>
          <w:szCs w:val="24"/>
          <w:lang w:val="en-US" w:eastAsia="zh-CN"/>
        </w:rPr>
      </w:pPr>
      <w:r>
        <w:drawing>
          <wp:inline distT="0" distB="0" distL="114300" distR="114300">
            <wp:extent cx="2065655" cy="676275"/>
            <wp:effectExtent l="0" t="0" r="0" b="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5"/>
                    <a:stretch>
                      <a:fillRect/>
                    </a:stretch>
                  </pic:blipFill>
                  <pic:spPr>
                    <a:xfrm>
                      <a:off x="0" y="0"/>
                      <a:ext cx="2065655" cy="676275"/>
                    </a:xfrm>
                    <a:prstGeom prst="rect">
                      <a:avLst/>
                    </a:prstGeom>
                    <a:noFill/>
                    <a:ln>
                      <a:noFill/>
                    </a:ln>
                  </pic:spPr>
                </pic:pic>
              </a:graphicData>
            </a:graphic>
          </wp:inline>
        </w:drawing>
      </w:r>
    </w:p>
    <w:p w14:paraId="510AA87D">
      <w:pPr>
        <w:jc w:val="left"/>
        <w:rPr>
          <w:rFonts w:ascii="宋体" w:hAnsi="宋体" w:eastAsia="宋体" w:cs="宋体"/>
          <w:sz w:val="24"/>
          <w:szCs w:val="24"/>
        </w:rPr>
      </w:pPr>
      <w:r>
        <w:rPr>
          <w:rFonts w:ascii="宋体" w:hAnsi="宋体" w:eastAsia="宋体" w:cs="宋体"/>
          <w:sz w:val="24"/>
          <w:szCs w:val="24"/>
        </w:rPr>
        <w:t>此外，结合不同循环窗口下的初始状态与变化情况，进一步构造指标相对变化量和有效观测比例等辅助特征，以增强模型对早期退化行为的描述能力。</w:t>
      </w:r>
    </w:p>
    <w:p w14:paraId="3B1A122B">
      <w:pPr>
        <w:jc w:val="left"/>
        <w:rPr>
          <w:rFonts w:ascii="宋体" w:hAnsi="宋体" w:eastAsia="宋体" w:cs="宋体"/>
          <w:sz w:val="24"/>
          <w:szCs w:val="24"/>
        </w:rPr>
      </w:pPr>
      <w:r>
        <w:rPr>
          <w:rFonts w:ascii="宋体" w:hAnsi="宋体" w:eastAsia="宋体" w:cs="宋体"/>
          <w:sz w:val="24"/>
          <w:szCs w:val="24"/>
        </w:rPr>
        <w:t>最终，对于第 i个电芯，将上述特征组合形成电芯级特征向量</w:t>
      </w:r>
    </w:p>
    <w:p w14:paraId="3B8C9E52">
      <w:pPr>
        <w:jc w:val="center"/>
      </w:pPr>
      <w:r>
        <w:drawing>
          <wp:inline distT="0" distB="0" distL="114300" distR="114300">
            <wp:extent cx="1873250" cy="325120"/>
            <wp:effectExtent l="0" t="0" r="6350" b="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6"/>
                    <a:stretch>
                      <a:fillRect/>
                    </a:stretch>
                  </pic:blipFill>
                  <pic:spPr>
                    <a:xfrm>
                      <a:off x="0" y="0"/>
                      <a:ext cx="1873250" cy="325120"/>
                    </a:xfrm>
                    <a:prstGeom prst="rect">
                      <a:avLst/>
                    </a:prstGeom>
                    <a:noFill/>
                    <a:ln>
                      <a:noFill/>
                    </a:ln>
                  </pic:spPr>
                </pic:pic>
              </a:graphicData>
            </a:graphic>
          </wp:inline>
        </w:drawing>
      </w:r>
    </w:p>
    <w:p w14:paraId="1519861D">
      <w:pPr>
        <w:jc w:val="left"/>
        <w:rPr>
          <w:rFonts w:hint="default"/>
          <w:lang w:val="en-US" w:eastAsia="zh-CN"/>
        </w:rPr>
      </w:pPr>
      <w:r>
        <w:rPr>
          <w:rFonts w:ascii="宋体" w:hAnsi="宋体" w:eastAsia="宋体" w:cs="宋体"/>
          <w:sz w:val="24"/>
          <w:szCs w:val="24"/>
        </w:rPr>
        <w:t>通过上述处理，将循环级退化信息转化为统一的电芯级特征表示，为后续寿命预测模型建立提供输入数据。</w:t>
      </w:r>
    </w:p>
    <w:p w14:paraId="20D2DD7F">
      <w:pPr>
        <w:pStyle w:val="2"/>
      </w:pPr>
      <w:r>
        <w:rPr>
          <w:rFonts w:hint="eastAsia"/>
          <w:lang w:val="en-US" w:eastAsia="zh-CN"/>
        </w:rPr>
        <w:t>后续结果章节的解锁条件</w:t>
      </w:r>
      <w:bookmarkEnd w:id="6"/>
    </w:p>
    <w:p w14:paraId="71689403">
      <w:pPr>
        <w:pStyle w:val="3"/>
        <w:spacing w:after="156"/>
      </w:pPr>
      <w:r>
        <w:rPr>
          <w:rFonts w:hint="eastAsia"/>
          <w:lang w:val="en-US" w:eastAsia="zh-CN"/>
        </w:rPr>
        <w:t>本开发稿不包含最终 Q1—Q4 结果分析、最终策略或外部泛化结论。Q3 仍需由建模者完成稳定性和结果裁决；随后才能冻结数值，并在规则完全冻结后一次性运行 Secondary 压力测试。</w:t>
      </w:r>
    </w:p>
    <w:p w14:paraId="457A03D4">
      <w:pPr>
        <w:rPr>
          <w:rFonts w:hint="eastAsia" w:cs="Times New Roman"/>
          <w:kern w:val="0"/>
          <w:sz w:val="24"/>
          <w:szCs w:val="24"/>
          <w:vertAlign w:val="baseline"/>
          <w:lang w:val="en-US" w:eastAsia="zh-CN"/>
        </w:rPr>
      </w:pPr>
      <w:r>
        <w:rPr>
          <w:rFonts w:ascii="宋体" w:hAnsi="宋体" w:eastAsia="宋体" w:cs="宋体"/>
          <w:sz w:val="24"/>
          <w:szCs w:val="24"/>
        </w:rPr>
        <w:t>在此之前，Q3 的 M3R-k=5 只能作为早期曲线增强筛查候选，M2-k=100 只能作为开发集内误差最低的正式校正候选；Q4 的 4 个已有策略非支配点也只表示开发池案例。</w:t>
      </w:r>
      <w:r>
        <w:rPr>
          <w:rFonts w:hint="eastAsia" w:ascii="宋体" w:hAnsi="宋体" w:cs="宋体"/>
          <w:sz w:val="24"/>
          <w:szCs w:val="24"/>
          <w:lang w:val="en-US" w:eastAsia="zh-CN"/>
        </w:rPr>
      </w:r>
      <w:r>
        <w:rPr>
          <w:rFonts w:ascii="宋体" w:hAnsi="宋体" w:eastAsia="宋体" w:cs="宋体"/>
          <w:sz w:val="24"/>
          <w:szCs w:val="24"/>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hint="eastAsia" w:cs="Times New Roman"/>
          <w:kern w:val="0"/>
          <w:sz w:val="24"/>
          <w:szCs w:val="24"/>
          <w:vertAlign w:val="baseline"/>
          <w:lang w:val="en-US" w:eastAsia="zh-CN"/>
        </w:rPr>
      </w:r>
    </w:p>
    <w:p w14:paraId="6559B3A9">
      <w:pPr>
        <w:rPr>
          <w:rFonts w:hint="eastAsia" w:cs="Times New Roman"/>
          <w:kern w:val="0"/>
          <w:sz w:val="24"/>
          <w:szCs w:val="24"/>
          <w:vertAlign w:val="baseline"/>
          <w:lang w:val="en-US" w:eastAsia="zh-CN"/>
        </w:rPr>
      </w:pPr>
      <w:r>
        <w:rPr>
          <w:rFonts w:hint="eastAsia" w:cs="Times New Roman"/>
          <w:kern w:val="0"/>
          <w:sz w:val="24"/>
          <w:szCs w:val="24"/>
          <w:vertAlign w:val="baseline"/>
          <w:lang w:val="en-US" w:eastAsia="zh-CN"/>
        </w:rPr>
        <w:t>可复现证据见 `robustness/Q3/q3_robustness_report.md`、`robustness/Q4/q4_robustness_report.md` 与 `paper/audits/cross_media_consistency_audit.md`。</w:t>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eastAsia="zh-CN"/>
        </w:rPr>
      </w:r>
      <w:r>
        <w:rPr>
          <w:rFonts w:ascii="Times New Roman" w:hAnsi="Times New Roman" w:eastAsia="宋体" w:cs="Times New Roman"/>
          <w:i/>
          <w:iCs/>
          <w:kern w:val="0"/>
          <w:sz w:val="24"/>
          <w:szCs w:val="24"/>
        </w:rPr>
      </w:r>
      <w:r>
        <w:rPr>
          <w:rFonts w:ascii="Times New Roman" w:hAnsi="Times New Roman" w:eastAsia="宋体" w:cs="Times New Roman"/>
          <w:kern w:val="0"/>
          <w:sz w:val="24"/>
          <w:szCs w:val="24"/>
          <w:vertAlign w:val="subscript"/>
        </w:rPr>
      </w:r>
      <w:r>
        <w:rPr>
          <w:rFonts w:hint="eastAsia" w:cs="Times New Roman"/>
          <w:kern w:val="0"/>
          <w:sz w:val="24"/>
          <w:szCs w:val="24"/>
          <w:vertAlign w:val="baseline"/>
          <w:lang w:val="en-US" w:eastAsia="zh-CN"/>
        </w:rPr>
      </w:r>
    </w:p>
    <w:p>
      <w:r>
        <w:drawing>
          <wp:inline xmlns:a="http://schemas.openxmlformats.org/drawingml/2006/main" xmlns:pic="http://schemas.openxmlformats.org/drawingml/2006/picture">
            <wp:extent cx="5486400" cy="2408533"/>
            <wp:docPr id="24" name="Picture 24"/>
            <wp:cNvGraphicFramePr>
              <a:graphicFrameLocks noChangeAspect="1"/>
            </wp:cNvGraphicFramePr>
            <a:graphic>
              <a:graphicData uri="http://schemas.openxmlformats.org/drawingml/2006/picture">
                <pic:pic>
                  <pic:nvPicPr>
                    <pic:cNvPr id="0" name="evidence_workflow_development.png"/>
                    <pic:cNvPicPr/>
                  </pic:nvPicPr>
                  <pic:blipFill>
                    <a:blip r:embed="rId31"/>
                    <a:stretch>
                      <a:fillRect/>
                    </a:stretch>
                  </pic:blipFill>
                  <pic:spPr>
                    <a:xfrm>
                      <a:off x="0" y="0"/>
                      <a:ext cx="5486400" cy="2408533"/>
                    </a:xfrm>
                    <a:prstGeom prst="rect"/>
                  </pic:spPr>
                </pic:pic>
              </a:graphicData>
            </a:graphic>
          </wp:inline>
        </w:drawing>
      </w:r>
    </w:p>
    <w:p>
      <w:pPr>
        <w:pStyle w:val="23"/>
        <w:jc w:val="center"/>
      </w:pPr>
      <w:r>
        <w:t>图 1  开发版证据流程与验证边界（非最终推荐）</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enlo">
    <w:altName w:val="Courier New"/>
    <w:panose1 w:val="020B0609030804020204"/>
    <w:charset w:val="00"/>
    <w:family w:val="modern"/>
    <w:pitch w:val="default"/>
    <w:sig w:usb0="00000000" w:usb1="00000000" w:usb2="02000028" w:usb3="00000000" w:csb0="000001D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8D797">
    <w:pPr>
      <w:pStyle w:val="7"/>
      <w:ind w:firstLine="0" w:firstLineChars="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14:paraId="009DA9DC">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295F">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A3B9">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BBD">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BF35">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DAE9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pStyle w:val="4"/>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1DA2"/>
    <w:rsid w:val="00171A48"/>
    <w:rsid w:val="00172B82"/>
    <w:rsid w:val="001873C2"/>
    <w:rsid w:val="001939A1"/>
    <w:rsid w:val="00195F45"/>
    <w:rsid w:val="0019771A"/>
    <w:rsid w:val="001A2F74"/>
    <w:rsid w:val="001A35B1"/>
    <w:rsid w:val="001C239C"/>
    <w:rsid w:val="001C7D65"/>
    <w:rsid w:val="001E1F3D"/>
    <w:rsid w:val="001F3C75"/>
    <w:rsid w:val="001F5C5A"/>
    <w:rsid w:val="00217314"/>
    <w:rsid w:val="00222A3C"/>
    <w:rsid w:val="00225389"/>
    <w:rsid w:val="0022698C"/>
    <w:rsid w:val="002319B3"/>
    <w:rsid w:val="00236AE3"/>
    <w:rsid w:val="00240B4E"/>
    <w:rsid w:val="00250F22"/>
    <w:rsid w:val="00254993"/>
    <w:rsid w:val="002633EC"/>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5334D"/>
    <w:rsid w:val="00665939"/>
    <w:rsid w:val="006744CD"/>
    <w:rsid w:val="00696B38"/>
    <w:rsid w:val="006C057D"/>
    <w:rsid w:val="006C5041"/>
    <w:rsid w:val="006D4342"/>
    <w:rsid w:val="006E78E6"/>
    <w:rsid w:val="006F3BF2"/>
    <w:rsid w:val="0071074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50CDA"/>
    <w:rsid w:val="00A94FB5"/>
    <w:rsid w:val="00AA26EA"/>
    <w:rsid w:val="00AC0C64"/>
    <w:rsid w:val="00AC5569"/>
    <w:rsid w:val="00AD735E"/>
    <w:rsid w:val="00AE33B8"/>
    <w:rsid w:val="00B44C8B"/>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51D42"/>
    <w:rsid w:val="00F63512"/>
    <w:rsid w:val="00F91D20"/>
    <w:rsid w:val="00F9561D"/>
    <w:rsid w:val="00FA2AA2"/>
    <w:rsid w:val="00FA4A26"/>
    <w:rsid w:val="00FB417A"/>
    <w:rsid w:val="00FB7BFE"/>
    <w:rsid w:val="00FF19BF"/>
    <w:rsid w:val="02007D38"/>
    <w:rsid w:val="02F920DE"/>
    <w:rsid w:val="03C20E03"/>
    <w:rsid w:val="08017F69"/>
    <w:rsid w:val="095E5D5B"/>
    <w:rsid w:val="0E480BC8"/>
    <w:rsid w:val="133E363B"/>
    <w:rsid w:val="14076907"/>
    <w:rsid w:val="18FB02B6"/>
    <w:rsid w:val="1B171B26"/>
    <w:rsid w:val="1CE14D19"/>
    <w:rsid w:val="1E264227"/>
    <w:rsid w:val="1F2F15DC"/>
    <w:rsid w:val="20347977"/>
    <w:rsid w:val="24507E57"/>
    <w:rsid w:val="248E11CD"/>
    <w:rsid w:val="249E6E14"/>
    <w:rsid w:val="25D07231"/>
    <w:rsid w:val="28164755"/>
    <w:rsid w:val="287405B8"/>
    <w:rsid w:val="29E40E7E"/>
    <w:rsid w:val="2AED4651"/>
    <w:rsid w:val="2BC52ED8"/>
    <w:rsid w:val="2E4104BE"/>
    <w:rsid w:val="2E6D7F83"/>
    <w:rsid w:val="2F897553"/>
    <w:rsid w:val="311B7D98"/>
    <w:rsid w:val="32D81D7B"/>
    <w:rsid w:val="33A37FA3"/>
    <w:rsid w:val="3848736B"/>
    <w:rsid w:val="3C174336"/>
    <w:rsid w:val="3DDD67A7"/>
    <w:rsid w:val="3E552D1B"/>
    <w:rsid w:val="41AA2E44"/>
    <w:rsid w:val="43921968"/>
    <w:rsid w:val="44DC50C3"/>
    <w:rsid w:val="4689127A"/>
    <w:rsid w:val="48267C20"/>
    <w:rsid w:val="48A203D1"/>
    <w:rsid w:val="49B4660E"/>
    <w:rsid w:val="4CE73541"/>
    <w:rsid w:val="4E767FEC"/>
    <w:rsid w:val="53F73CC7"/>
    <w:rsid w:val="555925CB"/>
    <w:rsid w:val="55B54954"/>
    <w:rsid w:val="56486A5C"/>
    <w:rsid w:val="5AB20948"/>
    <w:rsid w:val="606C3347"/>
    <w:rsid w:val="6082700E"/>
    <w:rsid w:val="64EF09EB"/>
    <w:rsid w:val="655A52DF"/>
    <w:rsid w:val="66C043ED"/>
    <w:rsid w:val="6A0C433E"/>
    <w:rsid w:val="6A253167"/>
    <w:rsid w:val="6F3D3197"/>
    <w:rsid w:val="72912A35"/>
    <w:rsid w:val="76740D50"/>
    <w:rsid w:val="797D52E3"/>
    <w:rsid w:val="7AC52BDD"/>
    <w:rsid w:val="7C0F655D"/>
    <w:rsid w:val="7C350056"/>
    <w:rsid w:val="7FAC4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9"/>
    <w:qFormat/>
    <w:uiPriority w:val="9"/>
    <w:pPr>
      <w:keepNext/>
      <w:keepLines/>
      <w:numPr>
        <w:ilvl w:val="0"/>
        <w:numId w:val="1"/>
      </w:numPr>
      <w:spacing w:before="120" w:after="120"/>
      <w:ind w:left="0" w:firstLine="0" w:firstLineChars="0"/>
      <w:jc w:val="center"/>
      <w:outlineLvl w:val="0"/>
    </w:pPr>
    <w:rPr>
      <w:rFonts w:ascii="黑体" w:hAnsi="黑体" w:eastAsia="黑体"/>
      <w:bCs/>
      <w:kern w:val="44"/>
      <w:sz w:val="28"/>
      <w:szCs w:val="44"/>
    </w:rPr>
  </w:style>
  <w:style w:type="paragraph" w:styleId="3">
    <w:name w:val="heading 2"/>
    <w:basedOn w:val="1"/>
    <w:next w:val="1"/>
    <w:link w:val="20"/>
    <w:unhideWhenUsed/>
    <w:qFormat/>
    <w:uiPriority w:val="9"/>
    <w:pPr>
      <w:keepNext/>
      <w:keepLines/>
      <w:numPr>
        <w:ilvl w:val="1"/>
        <w:numId w:val="1"/>
      </w:numPr>
      <w:spacing w:after="50" w:afterLines="50"/>
      <w:ind w:left="0" w:firstLine="0" w:firstLineChars="0"/>
      <w:jc w:val="left"/>
      <w:outlineLvl w:val="1"/>
    </w:pPr>
    <w:rPr>
      <w:rFonts w:ascii="黑体" w:hAnsi="黑体" w:eastAsia="黑体" w:cstheme="majorBidi"/>
      <w:bCs/>
      <w:szCs w:val="32"/>
    </w:rPr>
  </w:style>
  <w:style w:type="paragraph" w:styleId="4">
    <w:name w:val="heading 3"/>
    <w:basedOn w:val="1"/>
    <w:next w:val="1"/>
    <w:link w:val="21"/>
    <w:unhideWhenUsed/>
    <w:qFormat/>
    <w:uiPriority w:val="9"/>
    <w:pPr>
      <w:keepNext/>
      <w:keepLines/>
      <w:numPr>
        <w:ilvl w:val="2"/>
        <w:numId w:val="1"/>
      </w:numPr>
      <w:ind w:left="0" w:firstLine="0" w:firstLineChars="0"/>
      <w:jc w:val="left"/>
      <w:outlineLvl w:val="2"/>
    </w:pPr>
    <w:rPr>
      <w:rFonts w:ascii="黑体" w:hAnsi="黑体" w:eastAsia="黑体"/>
      <w:bCs/>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uiPriority w:val="39"/>
    <w:pPr>
      <w:ind w:left="840" w:leftChars="400"/>
    </w:pPr>
  </w:style>
  <w:style w:type="paragraph" w:styleId="6">
    <w:name w:val="Balloon Text"/>
    <w:basedOn w:val="1"/>
    <w:link w:val="26"/>
    <w:semiHidden/>
    <w:unhideWhenUsed/>
    <w:qFormat/>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toc 2"/>
    <w:basedOn w:val="1"/>
    <w:next w:val="1"/>
    <w:autoRedefine/>
    <w:unhideWhenUsed/>
    <w:qFormat/>
    <w:uiPriority w:val="39"/>
    <w:pPr>
      <w:ind w:left="420" w:leftChars="200"/>
    </w:pPr>
  </w:style>
  <w:style w:type="paragraph" w:styleId="11">
    <w:name w:val="Normal (Web)"/>
    <w:basedOn w:val="1"/>
    <w:semiHidden/>
    <w:unhideWhenUsed/>
    <w:uiPriority w:val="99"/>
    <w:pPr>
      <w:widowControl/>
      <w:spacing w:before="100" w:beforeAutospacing="1" w:after="100" w:afterAutospacing="1"/>
      <w:ind w:firstLine="0" w:firstLineChars="0"/>
      <w:jc w:val="left"/>
    </w:pPr>
    <w:rPr>
      <w:rFonts w:ascii="宋体" w:hAnsi="宋体" w:cs="宋体"/>
      <w:kern w:val="0"/>
      <w:szCs w:val="24"/>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页眉 字符"/>
    <w:basedOn w:val="14"/>
    <w:link w:val="8"/>
    <w:qFormat/>
    <w:uiPriority w:val="99"/>
    <w:rPr>
      <w:sz w:val="18"/>
      <w:szCs w:val="18"/>
    </w:rPr>
  </w:style>
  <w:style w:type="character" w:customStyle="1" w:styleId="18">
    <w:name w:val="页脚 字符"/>
    <w:basedOn w:val="14"/>
    <w:link w:val="7"/>
    <w:qFormat/>
    <w:uiPriority w:val="99"/>
    <w:rPr>
      <w:sz w:val="18"/>
      <w:szCs w:val="18"/>
    </w:rPr>
  </w:style>
  <w:style w:type="character" w:customStyle="1" w:styleId="19">
    <w:name w:val="标题 1 字符"/>
    <w:basedOn w:val="14"/>
    <w:link w:val="2"/>
    <w:qFormat/>
    <w:uiPriority w:val="9"/>
    <w:rPr>
      <w:rFonts w:ascii="黑体" w:hAnsi="黑体" w:eastAsia="黑体"/>
      <w:bCs/>
      <w:kern w:val="44"/>
      <w:sz w:val="28"/>
      <w:szCs w:val="44"/>
    </w:rPr>
  </w:style>
  <w:style w:type="character" w:customStyle="1" w:styleId="20">
    <w:name w:val="标题 2 字符"/>
    <w:basedOn w:val="14"/>
    <w:link w:val="3"/>
    <w:qFormat/>
    <w:uiPriority w:val="9"/>
    <w:rPr>
      <w:rFonts w:ascii="黑体" w:hAnsi="黑体" w:eastAsia="黑体" w:cstheme="majorBidi"/>
      <w:bCs/>
      <w:sz w:val="24"/>
      <w:szCs w:val="32"/>
    </w:rPr>
  </w:style>
  <w:style w:type="character" w:customStyle="1" w:styleId="21">
    <w:name w:val="标题 3 字符"/>
    <w:basedOn w:val="14"/>
    <w:link w:val="4"/>
    <w:qFormat/>
    <w:uiPriority w:val="9"/>
    <w:rPr>
      <w:rFonts w:ascii="黑体" w:hAnsi="黑体" w:eastAsia="黑体"/>
      <w:bCs/>
      <w:sz w:val="24"/>
      <w:szCs w:val="32"/>
    </w:rPr>
  </w:style>
  <w:style w:type="paragraph" w:styleId="22">
    <w:name w:val="List Paragraph"/>
    <w:basedOn w:val="1"/>
    <w:qFormat/>
    <w:uiPriority w:val="34"/>
    <w:pPr>
      <w:ind w:firstLine="420"/>
    </w:pPr>
  </w:style>
  <w:style w:type="paragraph" w:customStyle="1" w:styleId="23">
    <w:name w:val="图表标题"/>
    <w:basedOn w:val="1"/>
    <w:next w:val="1"/>
    <w:qFormat/>
    <w:uiPriority w:val="0"/>
    <w:pPr>
      <w:ind w:firstLine="0" w:firstLineChars="0"/>
      <w:jc w:val="center"/>
    </w:pPr>
    <w:rPr>
      <w:b/>
      <w:sz w:val="21"/>
      <w:szCs w:val="21"/>
    </w:rPr>
  </w:style>
  <w:style w:type="character" w:customStyle="1" w:styleId="24">
    <w:name w:val="未处理的提及1"/>
    <w:basedOn w:val="14"/>
    <w:semiHidden/>
    <w:unhideWhenUsed/>
    <w:qFormat/>
    <w:uiPriority w:val="99"/>
    <w:rPr>
      <w:color w:val="605E5C"/>
      <w:shd w:val="clear" w:color="auto" w:fill="E1DFDD"/>
    </w:rPr>
  </w:style>
  <w:style w:type="paragraph" w:customStyle="1" w:styleId="25">
    <w:name w:val="Bibliography"/>
    <w:basedOn w:val="1"/>
    <w:next w:val="1"/>
    <w:unhideWhenUsed/>
    <w:qFormat/>
    <w:uiPriority w:val="37"/>
  </w:style>
  <w:style w:type="character" w:customStyle="1" w:styleId="26">
    <w:name w:val="批注框文本 字符"/>
    <w:basedOn w:val="14"/>
    <w:link w:val="6"/>
    <w:semiHidden/>
    <w:qFormat/>
    <w:uiPriority w:val="99"/>
    <w:rPr>
      <w:rFonts w:ascii="Times New Roman" w:hAnsi="Times New Roman" w:eastAsia="宋体"/>
      <w:sz w:val="18"/>
      <w:szCs w:val="18"/>
    </w:rPr>
  </w:style>
  <w:style w:type="table" w:customStyle="1" w:styleId="27">
    <w:name w:val="三线表"/>
    <w:basedOn w:val="12"/>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8">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29">
    <w:name w:val="Placeholder Text"/>
    <w:basedOn w:val="14"/>
    <w:semiHidden/>
    <w:qFormat/>
    <w:uiPriority w:val="99"/>
    <w:rPr>
      <w:color w:val="808080"/>
    </w:rPr>
  </w:style>
  <w:style w:type="character" w:customStyle="1" w:styleId="30">
    <w:name w:val="AMEquationSection"/>
    <w:basedOn w:val="14"/>
    <w:qFormat/>
    <w:uiPriority w:val="0"/>
    <w:rPr>
      <w:rFonts w:ascii="黑体" w:hAnsi="黑体" w:eastAsia="黑体"/>
      <w:color w:val="FF0000"/>
      <w:sz w:val="32"/>
      <w:szCs w:val="32"/>
    </w:rPr>
  </w:style>
  <w:style w:type="paragraph" w:customStyle="1" w:styleId="31">
    <w:name w:val="AMDisplayEquation"/>
    <w:basedOn w:val="2"/>
    <w:next w:val="1"/>
    <w:link w:val="32"/>
    <w:qFormat/>
    <w:uiPriority w:val="0"/>
    <w:pPr>
      <w:tabs>
        <w:tab w:val="center" w:pos="4420"/>
        <w:tab w:val="right" w:pos="8840"/>
      </w:tabs>
    </w:pPr>
    <w:rPr>
      <w:color w:val="FF0000"/>
    </w:rPr>
  </w:style>
  <w:style w:type="character" w:customStyle="1" w:styleId="32">
    <w:name w:val="AMDisplayEquation 字符"/>
    <w:basedOn w:val="14"/>
    <w:link w:val="31"/>
    <w:qFormat/>
    <w:uiPriority w:val="0"/>
    <w:rPr>
      <w:rFonts w:ascii="黑体" w:hAnsi="黑体" w:eastAsia="黑体"/>
      <w:bCs/>
      <w:color w:val="FF0000"/>
      <w:kern w:val="44"/>
      <w:sz w:val="28"/>
      <w:szCs w:val="44"/>
    </w:rPr>
  </w:style>
  <w:style w:type="paragraph" w:customStyle="1" w:styleId="33">
    <w:name w:val="EndNote Bibliography Title"/>
    <w:basedOn w:val="1"/>
    <w:link w:val="34"/>
    <w:qFormat/>
    <w:uiPriority w:val="0"/>
    <w:pPr>
      <w:jc w:val="center"/>
    </w:pPr>
    <w:rPr>
      <w:rFonts w:cs="Times New Roman"/>
    </w:rPr>
  </w:style>
  <w:style w:type="character" w:customStyle="1" w:styleId="34">
    <w:name w:val="EndNote Bibliography Title 字符"/>
    <w:basedOn w:val="14"/>
    <w:link w:val="33"/>
    <w:qFormat/>
    <w:uiPriority w:val="0"/>
    <w:rPr>
      <w:rFonts w:ascii="Times New Roman" w:hAnsi="Times New Roman" w:eastAsia="宋体" w:cs="Times New Roman"/>
      <w:sz w:val="24"/>
    </w:rPr>
  </w:style>
  <w:style w:type="paragraph" w:customStyle="1" w:styleId="35">
    <w:name w:val="EndNote Bibliography"/>
    <w:basedOn w:val="1"/>
    <w:link w:val="36"/>
    <w:qFormat/>
    <w:uiPriority w:val="0"/>
    <w:rPr>
      <w:rFonts w:cs="Times New Roman"/>
    </w:rPr>
  </w:style>
  <w:style w:type="character" w:customStyle="1" w:styleId="36">
    <w:name w:val="EndNote Bibliography 字符"/>
    <w:basedOn w:val="14"/>
    <w:link w:val="35"/>
    <w:qFormat/>
    <w:uiPriority w:val="0"/>
    <w:rPr>
      <w:rFonts w:ascii="Times New Roman" w:hAnsi="Times New Roman" w:eastAsia="宋体" w:cs="Times New Roman"/>
      <w:sz w:val="24"/>
    </w:rPr>
  </w:style>
  <w:style w:type="character" w:customStyle="1" w:styleId="37">
    <w:name w:val="Unresolved Mention"/>
    <w:basedOn w:val="14"/>
    <w:semiHidden/>
    <w:unhideWhenUsed/>
    <w:qFormat/>
    <w:uiPriority w:val="99"/>
    <w:rPr>
      <w:color w:val="605E5C"/>
      <w:shd w:val="clear" w:color="auto" w:fill="E1DFDD"/>
    </w:rPr>
  </w:style>
  <w:style w:type="character" w:customStyle="1" w:styleId="38">
    <w:name w:val="tit"/>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wmf"/><Relationship Id="rId21" Type="http://schemas.openxmlformats.org/officeDocument/2006/relationships/image" Target="media/image10.wmf"/><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image" Target="media/image7.wmf"/><Relationship Id="rId17" Type="http://schemas.openxmlformats.org/officeDocument/2006/relationships/image" Target="media/image6.wmf"/><Relationship Id="rId16" Type="http://schemas.openxmlformats.org/officeDocument/2006/relationships/image" Target="media/image5.wmf"/><Relationship Id="rId15" Type="http://schemas.openxmlformats.org/officeDocument/2006/relationships/image" Target="media/image4.wmf"/><Relationship Id="rId14" Type="http://schemas.openxmlformats.org/officeDocument/2006/relationships/image" Target="media/image3.wmf"/><Relationship Id="rId13" Type="http://schemas.openxmlformats.org/officeDocument/2006/relationships/image" Target="media/image2.wmf"/><Relationship Id="rId12" Type="http://schemas.openxmlformats.org/officeDocument/2006/relationships/image" Target="media/image1.w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3057</Words>
  <Characters>3222</Characters>
  <Lines>26</Lines>
  <Paragraphs>7</Paragraphs>
  <TotalTime>3</TotalTime>
  <ScaleCrop>false</ScaleCrop>
  <LinksUpToDate>false</LinksUpToDate>
  <CharactersWithSpaces>3249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talentedabc</cp:lastModifiedBy>
  <cp:lastPrinted>2020-11-30T03:40:00Z</cp:lastPrinted>
  <dcterms:modified xsi:type="dcterms:W3CDTF">2026-08-02T15:51:02Z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eyJoZGlkIjoiZjYwYzI1Njg2MzQxODhlMmFlNTM0YWU3NTY4ZWZkMDIiLCJ1c2VySWQiOiI1MDc0MDU0NDYifQ==</vt:lpwstr>
  </property>
  <property fmtid="{D5CDD505-2E9C-101B-9397-08002B2CF9AE}" pid="8" name="KSOProductBuildVer">
    <vt:lpwstr>2052-12.1.0.24034</vt:lpwstr>
  </property>
  <property fmtid="{D5CDD505-2E9C-101B-9397-08002B2CF9AE}" pid="9" name="ICV">
    <vt:lpwstr>7AA14453702F4F0BB541182CC55AAD1F_12</vt:lpwstr>
  </property>
</Properties>
</file>