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24" w:lineRule="auto"/>
        <w:ind w:firstLine="0"/>
        <w:jc w:val="center"/>
      </w:pPr>
      <w:r>
        <w:rPr>
          <w:rFonts w:ascii="宋体" w:hAnsi="宋体" w:eastAsia="宋体"/>
          <w:b/>
          <w:sz w:val="36"/>
        </w:rPr>
        <w:t>不同 SOC 区间快充策略与电池寿命的开发期建模证据稿</w:t>
      </w:r>
    </w:p>
    <w:p>
      <w:pPr>
        <w:spacing w:line="324" w:lineRule="auto"/>
        <w:ind w:firstLine="0"/>
        <w:jc w:val="center"/>
      </w:pPr>
      <w:r>
        <w:rPr>
          <w:rFonts w:ascii="宋体" w:hAnsi="宋体" w:eastAsia="宋体"/>
          <w:b w:val="0"/>
          <w:sz w:val="22"/>
        </w:rPr>
        <w:t>开发证据版（非最终提交；待 Q3 裁决、Secondary 压力测试与新策略 pilot）</w:t>
      </w:r>
    </w:p>
    <w:p>
      <w:pPr>
        <w:spacing w:line="324" w:lineRule="auto"/>
        <w:ind w:firstLine="0"/>
        <w:jc w:val="center"/>
      </w:pPr>
      <w:r>
        <w:rPr>
          <w:rFonts w:ascii="宋体" w:hAnsi="宋体" w:eastAsia="宋体"/>
          <w:b w:val="0"/>
          <w:sz w:val="19"/>
        </w:rPr>
        <w:t>说明：本稿只整理已审计、可复现的开发证据。Primary 仅作一次受限确认；所有 Q3/Q4 结论均不等同于独立外部泛化或最终最优推荐。</w:t>
      </w:r>
    </w:p>
    <w:p>
      <w:pPr>
        <w:spacing w:before="200" w:after="100"/>
      </w:pPr>
      <w:r>
        <w:rPr>
          <w:rFonts w:ascii="黑体" w:hAnsi="黑体" w:eastAsia="黑体"/>
          <w:b/>
          <w:sz w:val="28"/>
        </w:rPr>
        <w:t>摘要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针对两阶段快充下“补能时间—循环寿命—早期健康状态”难以同时兼顾的问题，建立由数据审计、策略关联、运行后校正和可信域决策组成的分层流程。以题目参考研究的 Table 9 为寿命标签来源[1]，将三批 MAT 记录按物理条码拼接，并采用字段—循环掩码保留局部异常而不静默删整枚电芯，得到 124 枚电芯和 99,279 行正式循环级视图。策略关联部分以自然对数寿命为目标，在 Train 的策略分组交叉验证中比较主效应 Ridge 与二阶交互 Ridge；后者的 MAE_log 点估计改善 8.91%，但 2,000 次策略组 bootstrap 的差值区间跨过 0，因此仅作为不同 SOC 区间倍率交互的敏感性分析。运行后校正部分严格限制截止窗口的信息范围：M3R-k=5 是最早曲线增强筛查候选，M2-k=100 是当前开发集中误差最低的较充分校正候选。对于 Q4，Train-only 双空间支持域从 3,653 个可行格点中保留 1,775 个 `Q2_provisional` 待试验候选；同时对 60 个已有策略形成 4 个开发池非支配案例。由于每个案例仅有 2 枚电芯且 Secondary 未读取，本文给出三策略、九电芯的 pilot 接口而不输出最终最优方案。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关键词： 两阶段快充；循环寿命；SOC；Ridge；早期 SOH；可信域；Pareto</w:t>
      </w:r>
    </w:p>
    <w:p>
      <w:pPr>
        <w:spacing w:before="200" w:after="100"/>
      </w:pPr>
      <w:r>
        <w:rPr>
          <w:rFonts w:ascii="黑体" w:hAnsi="黑体" w:eastAsia="黑体"/>
          <w:b/>
          <w:sz w:val="28"/>
        </w:rPr>
        <w:t>1 问题重述与研究边界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每轮充电在 0–80% SOC 区间采用两段恒流策略：第一段倍率为 C₁，达到切换比例 q 后转为第二段倍率 C₂；80% 之后统一按 1C CC-CV 方式充电，截止电流为 C/50[2]。研究需要依次回答：如何整理并审计电池数据；如何描述不同 SOC 区间倍率与寿命的条件统计关系；如何利用运行早期信息预测寿命与未来 SOH；以及如何在数据覆盖范围内形成可执行的充电策略比较。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本研究将可获得信息的时点写入流程。Q2 仅使用设计前可知的策略参数，Q3 只使用截止循环 k 及以前的观测，Q4 对已有策略和新策略采用不同证据等级。`IR` 的单位为 Ω，`chargetime` 的单位为 min。3.6 V 为参考研究的数据采集协议背景[1]，而非题面额外安全硬约束，故不将其迁移为 Q4 的安全阈值。</w:t>
      </w:r>
    </w:p>
    <w:p>
      <w:pPr>
        <w:spacing w:before="200" w:after="100"/>
      </w:pPr>
      <w:r>
        <w:rPr>
          <w:rFonts w:ascii="黑体" w:hAnsi="黑体" w:eastAsia="黑体"/>
          <w:b/>
          <w:sz w:val="28"/>
        </w:rPr>
        <w:t>2 模型假设与符号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为使模型含义与数据边界一致，采用以下假设。其完整版本及违背影响见 `planning/model_assumptions.md`。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1. Table 9 的条码、充电策略和循环寿命是身份匹配与监督标签的权威口径；三批 MAT 仅用于补充逐循环观测。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2. 局部异常采用字段—循环掩码。未被掩码的同字段观测仍可服务于相应统计任务，但不据此推断整枚电芯完全无异常。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3. Train 仅用于建模和选择；Primary 只承担一次受限确认；Secondary 保留给冻结后的最终压力测试。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4. 同一 `policy_table9` 在交叉验证与 bootstrap 中始终作为同一组处理；当前数据只能支持条件关联和预测，不能识别未观测混杂下的因果效应。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5. Q3 的单调 SOH 模板是用于未来轨迹校正的简化假设，若外部测试显示系统性失配，则应退回 Train 重建而非在 Secondary 上调参。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</w:tcPr>
          <w:p>
            <w:pPr>
              <w:spacing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符号</w:t>
            </w:r>
          </w:p>
        </w:tc>
        <w:tc>
          <w:tcPr>
            <w:tcW w:type="dxa" w:w="2948"/>
          </w:tcPr>
          <w:p>
            <w:pPr>
              <w:spacing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含义</w:t>
            </w:r>
          </w:p>
        </w:tc>
        <w:tc>
          <w:tcPr>
            <w:tcW w:type="dxa" w:w="2948"/>
          </w:tcPr>
          <w:p>
            <w:pPr>
              <w:spacing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单位 / 范围</w:t>
            </w:r>
          </w:p>
        </w:tc>
      </w:tr>
      <w:tr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C₁,C₂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两阶段充电倍率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C-rate</w:t>
            </w:r>
          </w:p>
        </w:tc>
      </w:tr>
      <w:tr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q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倍率切换 SOC 比例，q=Q1\_percent/100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无量纲</w:t>
            </w:r>
          </w:p>
        </w:tc>
      </w:tr>
      <w:tr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Lᵢ,\widehat Lᵢ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官方循环寿命及其预测值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cycle</w:t>
            </w:r>
          </w:p>
        </w:tc>
      </w:tr>
      <w:tr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zᵢ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自然对数寿命，zᵢ=\ln Lᵢ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无量纲</w:t>
            </w:r>
          </w:p>
        </w:tc>
      </w:tr>
      <w:tr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k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早期观测截止循环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\{5,10,20,50,100\}</w:t>
            </w:r>
          </w:p>
        </w:tc>
      </w:tr>
      <w:tr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G(u)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由训练折构建的单调 SOH 模板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无量纲</w:t>
            </w:r>
          </w:p>
        </w:tc>
      </w:tr>
      <w:tr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\tau_{0-80}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理论 0–80% 恒流充电时间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min</w:t>
            </w:r>
          </w:p>
        </w:tc>
      </w:tr>
    </w:tbl>
    <w:p>
      <w:pPr>
        <w:spacing w:before="200" w:after="100"/>
      </w:pPr>
      <w:r>
        <w:rPr>
          <w:rFonts w:ascii="黑体" w:hAnsi="黑体" w:eastAsia="黑体"/>
          <w:b/>
          <w:sz w:val="28"/>
        </w:rPr>
        <w:t>3 数据审计与特征视图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000" cy="2174370"/>
            <wp:docPr id="1" name="Picture 1" descr="图 1  开发期证据流程与验证边界（非最终推荐）" title="图 1  开发期证据流程与验证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workflow_developme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7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1  开发期证据流程与验证边界（非最终推荐）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原始三批 MAT 文件保持只读。以 `barcode` 为物理主键合并续测片段后，140 条原始记录对应 124 枚 Table 9 正式电芯；5 条续测片段并入原电芯，11 条未进入 Table 9 的本地记录保留审计证据但不进入寿命建模。正式循环长表包含 99,279 行。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对每个嵌套循环逐字段检查 `t/Qc/I/V/T/Qd` 的长度一致性、NaN/Inf、时间倒序和物理边界。异常处理单位为“字段—循环”：被掩码的字段不进入对应曲线特征，不因为少量局部异常删除整枚电芯。RAW 电压特征只使用同时通过六字段审计、且处于充电状态的点；不对原始曲线静默插补。该规则保证后续 M3R 的信息来源与 P0 审计口径一致。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为防止泄漏，Train、Primary、Secondary 分别有 41、43、40 枚物理电芯。模型比较、特征变换、标准化、超参数选择和 bootstrap 均在 Train 内按 `policy_table9` 分组完成。Primary 已有探索暴露，只承担一次固定候选的受限确认；Secondary 保留给规则完全冻结后的最终跨批次压力测试。</w:t>
      </w:r>
    </w:p>
    <w:p>
      <w:pPr>
        <w:spacing w:before="200" w:after="100"/>
      </w:pPr>
      <w:r>
        <w:rPr>
          <w:rFonts w:ascii="黑体" w:hAnsi="黑体" w:eastAsia="黑体"/>
          <w:b/>
          <w:sz w:val="28"/>
        </w:rPr>
        <w:t>4 Q1：寿命差异与重复策略证据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000" cy="1906331"/>
            <wp:docPr id="2" name="Picture 2" descr="图 2  正式分析电芯的循环寿命分布（数据来源：Table 9 对齐结果）" title="图 2  正式分析电芯的循环寿命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01_lifetime_distribu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06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2  正式分析电芯的循环寿命分布（数据来源：Table 9 对齐结果）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124 枚正式电芯的循环寿命均值为 801.64 cycle，中位数为 736.5 cycle，四分位数为 498.75 和 946.5 cycle，范围为 148–2237 cycle。寿命分布右偏，因此后续预测同时报告 RMSE_log、MAE_log、逐电芯误差与策略组 bootstrap，而不只依赖一个均方误差。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对于跨分区重复出现的 19 种策略，按策略聚合后 Train–Primary 的 Pearson 相关系数为 0.9029（bootstrap 95% 区间 [0.1904, 0.9724]），寿命平均绝对差为 119.5 cycle（区间 [69.0, 175.0]）。这说明策略携带总体排序信息，但跨电芯差异仍明显；因此 Q2 只能作为策略层的条件关联，不能代替 Q3 对单枚电芯的运行后校正。</w:t>
      </w:r>
    </w:p>
    <w:p>
      <w:pPr>
        <w:spacing w:before="200" w:after="100"/>
      </w:pPr>
      <w:r>
        <w:rPr>
          <w:rFonts w:ascii="黑体" w:hAnsi="黑体" w:eastAsia="黑体"/>
          <w:b/>
          <w:sz w:val="28"/>
        </w:rPr>
        <w:t>5 Q2：策略—寿命的条件关联与设计前代理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000" cy="4422321"/>
            <wp:docPr id="3" name="Picture 3" descr="图 3  Q2 策略分组折外预测：M1 主线与 M2 敏感性模型" title="图 3  Q2 策略分组折外预测：M1 主线与 M2 敏感性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m2_oof_comparis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42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3  Q2 策略分组折外预测：M1 主线与 M2 敏感性模型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令 zᵢ=\ln Lᵢ，其中 Lᵢ 为 Table 9 给出的官方循环寿命。主效应 Ridge 以 C₁,q,C₂ 及其由策略确定的派生量为输入，作为低自由度基线；二阶交互 Ridge 在同一策略分组验证框架中增加二阶项与交互项，用于探索不同 SOC 段的倍率组合是否表现出额外关联。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对每个外层训练折，先仅在折内完成缺失值中位数填补、标准化和正则化参数选择，再拟合</w:t>
      </w:r>
    </w:p>
    <w:p>
      <w:pPr>
        <w:spacing w:before="60" w:after="100"/>
        <w:jc w:val="center"/>
      </w:pPr>
      <w:r>
        <w:rPr>
          <w:rFonts w:ascii="宋体" w:hAnsi="宋体" w:eastAsia="宋体"/>
          <w:b w:val="0"/>
          <w:sz w:val="21"/>
        </w:rPr>
        <w:t>min_{β₀, β} Σᵢ∈T (zᵢ − β₀ − xᵢᵀβ)² + λ‖β‖₂²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其中，\mathcal T 为当前训练折，\boldsymbol x_i 为策略特征；M2 仅将 \boldsymbol x_i 扩展到二阶多项式空间。以 `policy_table9` 分组保证同一策略不会同时进入同一外层折的训练与验证，从而使误差代表“未见策略”的开发期表现。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</w:tcPr>
          <w:p>
            <w:pPr>
              <w:spacing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模型</w:t>
            </w:r>
          </w:p>
        </w:tc>
        <w:tc>
          <w:tcPr>
            <w:tcW w:type="dxa" w:w="2211"/>
          </w:tcPr>
          <w:p>
            <w:pPr>
              <w:spacing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RMSE_log</w:t>
            </w:r>
          </w:p>
        </w:tc>
        <w:tc>
          <w:tcPr>
            <w:tcW w:type="dxa" w:w="2211"/>
          </w:tcPr>
          <w:p>
            <w:pPr>
              <w:spacing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MAE_log</w:t>
            </w:r>
          </w:p>
        </w:tc>
        <w:tc>
          <w:tcPr>
            <w:tcW w:type="dxa" w:w="2211"/>
          </w:tcPr>
          <w:p>
            <w:pPr>
              <w:spacing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论文角色</w:t>
            </w:r>
          </w:p>
        </w:tc>
      </w:tr>
      <w:tr>
        <w:tc>
          <w:tcPr>
            <w:tcW w:type="dxa" w:w="2211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M1 主效应 Ridge</w:t>
            </w:r>
          </w:p>
        </w:tc>
        <w:tc>
          <w:tcPr>
            <w:tcW w:type="dxa" w:w="2211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0.37169</w:t>
            </w:r>
          </w:p>
        </w:tc>
        <w:tc>
          <w:tcPr>
            <w:tcW w:type="dxa" w:w="2211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0.27557</w:t>
            </w:r>
          </w:p>
        </w:tc>
        <w:tc>
          <w:tcPr>
            <w:tcW w:type="dxa" w:w="2211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保守的正文策略关联基线</w:t>
            </w:r>
          </w:p>
        </w:tc>
      </w:tr>
      <w:tr>
        <w:tc>
          <w:tcPr>
            <w:tcW w:type="dxa" w:w="2211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M2 二阶交互 Ridge</w:t>
            </w:r>
          </w:p>
        </w:tc>
        <w:tc>
          <w:tcPr>
            <w:tcW w:type="dxa" w:w="2211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0.36854</w:t>
            </w:r>
          </w:p>
        </w:tc>
        <w:tc>
          <w:tcPr>
            <w:tcW w:type="dxa" w:w="2211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0.25102</w:t>
            </w:r>
          </w:p>
        </w:tc>
        <w:tc>
          <w:tcPr>
            <w:tcW w:type="dxa" w:w="2211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SOC 分段倍率交互的敏感性分析</w:t>
            </w:r>
          </w:p>
        </w:tc>
      </w:tr>
    </w:tbl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M2 相比 M1 的 MAE_log 点估计改善为 8.91%，但 ΔMAE_log 的策略组 bootstrap 95% 区间为 [−0.07245, 0.02620]，ΔRMSE_log 区间为 [−0.04887, 0.04018]，均不能排除“无改善”。故 M2 不被写成因果机制或正式解释主模型。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为 Q4 提名前，另在相同 Train-only 规则下比较 Ridge、ElasticNet、低自由度 GAM 与受限提升树。P3 低自由度 GAM 在 Train 的 RMSE_log/MAE_log 为 0.34892/0.23383，并在 Primary 一次固定观察中得到 0.28927/0.22572。它仅作为 `Q2_provisional` 的候选提名代理：不能用其点预测形成最终寿命排序，也不能把 Primary 的一次观察称为独立外部验证。</w:t>
      </w:r>
    </w:p>
    <w:p>
      <w:pPr>
        <w:spacing w:before="200" w:after="100"/>
      </w:pPr>
      <w:r>
        <w:rPr>
          <w:rFonts w:ascii="黑体" w:hAnsi="黑体" w:eastAsia="黑体"/>
          <w:b/>
          <w:sz w:val="28"/>
        </w:rPr>
        <w:t>6 Q3：早期运行后的寿命与 SOH 校正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000" cy="1988430"/>
            <wp:docPr id="4" name="Picture 4" descr="图 4  Q3 原始电压曲线候选模型的严格仅训练集比较（非外部验证）" title="图 4  Q3 原始电压曲线候选模型的严格仅训练集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raw_curve_challeng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88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4  Q3 原始电压曲线候选模型的严格仅训练集比较（非外部验证）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对于任一截止窗口 k，特征只从 cycle 2 至 k 提取容量、内阻、温度和充电时间的汇总、变化量及斜率。未来 SOH 使用仅由训练折电芯构造的单调模板，先以真实 k 点为锚定，再预测名义第 120 循环的 SOH。寿命在 ln L 尺度评估，SOH 以电芯等权 RMSE 为正式口径，避免长寿命电芯凭借更多观测点支配评价。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具体地，设 G(u) 为训练折内按相对寿命 u=c/L 对齐后、经保序回归得到的单调 SOH 模板，a_i(k) 为电芯 i 在截止循环 k 的真实 SOH，\widehat Lᵢ 为寿命预测。对未来循环 c，采用锚定校正</w:t>
      </w:r>
    </w:p>
    <w:p>
      <w:pPr>
        <w:spacing w:before="60" w:after="100"/>
        <w:jc w:val="center"/>
      </w:pPr>
      <w:r>
        <w:rPr>
          <w:rFonts w:ascii="宋体" w:hAnsi="宋体" w:eastAsia="宋体"/>
          <w:b w:val="0"/>
          <w:sz w:val="21"/>
        </w:rPr>
        <w:t>ŜOHᵢ(c) = aᵢ(k) + [0.8 − aᵢ(k)] · [G(min{c/L̂ᵢ,1}) − G(k/L̂ᵢ)] / [0.8 − G(k/L̂ᵢ)]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若 c\ge\widehat Lᵢ，则按寿命端点将预测记为 0.8；若分母接近 0、缺少锚点或预测寿命不大于 k，该电芯只对该窗口的曲线特征作失败标记，不能静默补值。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Round 2 的 M2（早期特征 Ridge）在 k=100 给出当前开发集最低的寿命与未来 SOH 误差：RMSE_log=0.23174、MAE_log=0.17008、SOH RMSE=0.03475。Round 3 在 k=5 将三个经过六字段审计的低维充电电压特征加入 M3（策略＋早期特征联合 Ridge），形成 M3R 曲线增强筛查候选：RMSE_log=0.24070、MAE_log=0.15714、SOH RMSE=0.03299；对应图展示的是 M3 与 M3R 的五窗口点估计对照。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筛查角色并不只由该点估计图决定。为与早期特征基线统一比较，另按策略组对 M3R-k=5 与 M2-k=5 作 2,000 次配对 bootstrap：SOH RMSE 差为 −0.00528，95% 区间 [−0.00908, −0.00161]；寿命 RMSE 和 MAE 的差值区间仍跨 0。因此，M3R-k=5 只承担早期筛查候选角色，不能声称已稳定优于基线的寿命预测。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当前双窗口分工为：k=5 用于尽早的风险预警和策略初筛，k=100 用于开发集内较充分的寿命与未来 SOH 校正。历史 Primary 脚本曾把早期特征 Ridge 标记为 M3；经 Round 2 对齐后，它实际对应 M2。故 Primary 的 k=5/k=100 观察仅可理解为 M2 的受限确认，不能外推给后来出现的 M3/M4/M3R：k=5 的 Primary 寿命 RMSE_log 为 0.30305，k=100 为 0.39702；k=100 的 SOH RMSE 为 0.03843，低于 k=5 的 0.04259。</w:t>
      </w:r>
    </w:p>
    <w:p>
      <w:pPr>
        <w:spacing w:before="200" w:after="100"/>
      </w:pPr>
      <w:r>
        <w:rPr>
          <w:rFonts w:ascii="黑体" w:hAnsi="黑体" w:eastAsia="黑体"/>
          <w:b/>
          <w:sz w:val="28"/>
        </w:rPr>
        <w:t>7 Q4：可信域内的策略比较与 pilot 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000" cy="2226900"/>
            <wp:docPr id="5" name="Picture 5" descr="图 5  Q4 已有策略的开发池比较（非独立外部验证，非最终推荐）" title="图 5  Q4 已有策略的开发池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existing_policy_paret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2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5  Q4 已有策略的开发池比较（非独立外部验证，非最终推荐）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000" cy="1858243"/>
            <wp:docPr id="6" name="Picture 6" descr="图 6  Q4 仅训练集候选流量与支持域诊断（不等于最优策略）" title="图 6  Q4 仅训练集候选流量与支持域诊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train_only_candidate_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858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6  Q4 仅训练集候选流量与支持域诊断（不等于最优策略）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对于没有真实早期运行数据的新策略，Q3 不可用，因此只能先输出 `Q2_provisional`。Train-only 可信域以原始参数空间和 SOC 分段派生量空间的 5 近邻距离共同约束，并在 1,000 次 barcode bootstrap 中要求不低于 80% 的支持率。3,653 个数学可行格点中，2,858 个通过 raw 5-NN，2,398 个通过 SOC 5-NN，2,329 个同时通过，最终 1,775 个成为可安排试验的候选；这不是“1,775 个最优策略”。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理论 0–80% 快充时间由策略本身给出。令 q=Q1\_percent/100，单阶段策略时令 C₂^{eff}=C₁，否则 C₂^{eff}=C₂，则</w:t>
      </w:r>
    </w:p>
    <w:p>
      <w:pPr>
        <w:spacing w:before="60" w:after="100"/>
        <w:jc w:val="center"/>
      </w:pPr>
      <w:r>
        <w:rPr>
          <w:rFonts w:ascii="宋体" w:hAnsi="宋体" w:eastAsia="宋体"/>
          <w:b w:val="0"/>
          <w:sz w:val="21"/>
        </w:rPr>
        <w:t>τ₀–₈₀ = 60 · [q/C₁ + (0.8 − q)/C₂ᵉᶠᶠ] min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该时间只描述理论恒流阶段，不等同于字段 `chargetime` 的完整 CC-CV 测量时间；两者不在正文中直接互换。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已有策略可利用真实早期数据形成开发池证据。将 Train 的交叉拟合与 Primary 的一次固定观察在电芯层面汇总后，60 个已有策略中有 19 个至少含 2 枚物理电芯，4 个在“理论 0–80% 快充时间更小、经验 P10 寿命摘要更大”上不被其他已有策略支配。四点的理论时间为 8.89–12.00 min，经验寿命摘要为 534.35–704.52 cycle；它们均为 `development_pool_non_dominated_not_external`，不是最终推荐。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尤其需要说明的是，四个非支配案例均只有 n=2，收紧为 n\ge3 或作策略内留一电芯敏感性时，保留率均为 0。当前证据只够展示开发池中的权衡形状，不足以从这四点中选出稳定的“最佳”。因此，从 1,775 个待试验候选中固定三条代表策略，每条 3 枚电芯、共 9 枚：快速端为 (C₁,q,C₂)=(6.0,65\%,4.5)，理论时间 8.500 min；中间权衡端为 (5.2,71\%,3.5)，时间 9.735 min；寿命端为 (4.4,71\%,3.5)，时间 11.225 min。P3 点预测仅用于覆盖不同权衡，不得作为保守下界。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试验完成前，新策略的状态不升级。每条策略先运行至 k=5 并形成筛查记录，但不以此单独淘汰或晋级；同一电芯再运行至 k=100，得到真实 Q3 校正后才可被标为 `Q3_confirmed` 并进入正式 Pareto。模型、特征、窗口、指标和可信域规则冻结后，才可读取 Secondary 进行一次跨批次压力测试。</w:t>
      </w:r>
    </w:p>
    <w:p>
      <w:pPr>
        <w:spacing w:before="200" w:after="100"/>
      </w:pPr>
      <w:r>
        <w:rPr>
          <w:rFonts w:ascii="黑体" w:hAnsi="黑体" w:eastAsia="黑体"/>
          <w:b/>
          <w:sz w:val="28"/>
        </w:rPr>
        <w:t>8 稳健性、优势与局限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稳健性检查包括：Q1 寿命分布与重复策略的 bootstrap；Q2 的策略组块 bootstrap 与交互项符号稳定性；Q3 的按策略/电芯等权误差、窗口 Pareto 与 RAW challenger 对照；Q4 的候选支持率、来源平衡、最小样本量和留一敏感性。该流程将“有改善的点估计”与“改善在重抽样下是否稳定”分开报告。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方法的优势在于：第一，原始曲线异常按字段—循环掩码而非整枚删除，数据边界可复核；第二，策略关联、运行后校正和新策略确认按信息时点分层，避免使用未来循环或把 Primary 反复用于选型；第三，Q4 输出候选等级与可执行 pilot，而不是在稀疏策略空间中强行宣布唯一最优点。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局限同样明确：Train 只有 41 枚电芯和 40 个策略组，策略重复较少；M3R-k=5 的寿命改善尚未在 bootstrap 中稳定；Primary 具有探索暴露，且新策略尚无真实 pilot 数据；Secondary 还未被读取。因而本稿的所有 Q3/Q4 结论均限定为开发证据，不能替代最终跨批次压力测试。</w:t>
      </w:r>
    </w:p>
    <w:p>
      <w:pPr>
        <w:spacing w:before="200" w:after="100"/>
      </w:pPr>
      <w:r>
        <w:rPr>
          <w:rFonts w:ascii="黑体" w:hAnsi="黑体" w:eastAsia="黑体"/>
          <w:b/>
          <w:sz w:val="28"/>
        </w:rPr>
        <w:t>9 当前结论与后续动作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1. 数据层面已形成以 124 枚物理条码为单位、可追溯至 Table 9 的正式分析视图，并保留局部异常掩码。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2. Q2 的稳健主线是 M1 主效应 Ridge；M2 仅保留为 SOC 分段交互的探索性敏感性分析。P3 只作 Q4 设计前候选提名。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3. Q3 目前保留双窗口：M3R-k=5 为早期曲线增强筛查候选，M2-k=100 为开发集内较充分校正候选；两者的最终置信等级仍需按既有审计门槛记录。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4. Q4 已给出已有策略开发池案例、可信域候选和三策略九电芯 pilot 接口；现阶段不输出最终最优充电方案。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5. 后续应在不回调 Primary 的前提下，先完成 Q3 的人工稳定性/结果裁决，再冻结 writer-facing 数字和论文口径，最后读取 Secondary 做一次最终压力测试。</w:t>
      </w:r>
    </w:p>
    <w:p>
      <w:pPr>
        <w:spacing w:before="200" w:after="100"/>
      </w:pPr>
      <w:r>
        <w:rPr>
          <w:rFonts w:ascii="黑体" w:hAnsi="黑体" w:eastAsia="黑体"/>
          <w:b/>
          <w:sz w:val="28"/>
        </w:rPr>
        <w:t>参考文献（开发期）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[1] Severson K A, Attia P M, Jin N, et al. Data-driven prediction of battery cycle life before capacity degradation. *Nature Energy*, 2019, 4(5): 383–391.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[2] B 题题目材料. 锂离子电池分段快充策略建模题目材料. 2026. 本地文件：`B.docx`。</w:t>
      </w:r>
    </w:p>
    <w:p>
      <w:pPr>
        <w:spacing w:before="200" w:after="100"/>
      </w:pPr>
      <w:r>
        <w:rPr>
          <w:rFonts w:ascii="黑体" w:hAnsi="黑体" w:eastAsia="黑体"/>
          <w:b/>
          <w:sz w:val="28"/>
        </w:rPr>
        <w:t>可追溯产物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- `data/p0_audit_report.md`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- `results/Q2/experiments/round1/q2_experiment_report_round1.md`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- `robustness/Q2/q2_robustness_report.md`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- `robustness/Q3/q3_robustness_report.md`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- `methods/Q3/q3_round2_scope_update.md`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- `results/Q4/experiments/q4_development_evidence_interpretation.md`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- `outputs/experiments/primary_confirmation_manifest_post_exposure.json`</w:t>
      </w:r>
    </w:p>
    <w:p>
      <w:pPr>
        <w:spacing w:before="200" w:after="100"/>
      </w:pPr>
      <w:r>
        <w:rPr>
          <w:rFonts w:ascii="黑体" w:hAnsi="黑体" w:eastAsia="黑体"/>
          <w:b/>
          <w:sz w:val="28"/>
        </w:rPr>
        <w:t>附录 A 开发期核心数值表</w:t>
      </w:r>
    </w:p>
    <w:p>
      <w:pPr>
        <w:spacing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下列数值均来自已运行的脚本输出，用于论文草稿写作与交接；它们不是最终冻结数字，不能绕过 Q3 人工裁决或 Secondary 压力测试。</w:t>
      </w:r>
    </w:p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</w:trPr>
        <w:tc>
          <w:tcPr>
            <w:tcW w:type="dxa" w:w="4422"/>
          </w:tcPr>
          <w:p>
            <w:pPr>
              <w:spacing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表 A1：Q1 寿命分布摘要</w:t>
            </w:r>
          </w:p>
        </w:tc>
        <w:tc>
          <w:tcPr>
            <w:tcW w:type="dxa" w:w="4422"/>
          </w:tcPr>
          <w:p>
            <w:pPr>
              <w:spacing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数值</w:t>
            </w:r>
          </w:p>
        </w:tc>
      </w:tr>
      <w:tr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正式分析电芯数</w:t>
            </w:r>
          </w:p>
        </w:tc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124</w:t>
            </w:r>
          </w:p>
        </w:tc>
      </w:tr>
      <w:tr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平均循环寿命（cycle）</w:t>
            </w:r>
          </w:p>
        </w:tc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801.64</w:t>
            </w:r>
          </w:p>
        </w:tc>
      </w:tr>
      <w:tr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中位循环寿命（cycle）</w:t>
            </w:r>
          </w:p>
        </w:tc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736.50</w:t>
            </w:r>
          </w:p>
        </w:tc>
      </w:tr>
      <w:tr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下四分位数 / 上四分位数（cycle）</w:t>
            </w:r>
          </w:p>
        </w:tc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498.75 / 946.50</w:t>
            </w:r>
          </w:p>
        </w:tc>
      </w:tr>
      <w:tr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最小值 / 最大值（cycle）</w:t>
            </w:r>
          </w:p>
        </w:tc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148 / 2237</w:t>
            </w:r>
          </w:p>
        </w:tc>
      </w:tr>
    </w:tbl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</w:tcPr>
          <w:p>
            <w:pPr>
              <w:spacing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表 A2：Q3 双窗口开发期角色</w:t>
            </w:r>
          </w:p>
        </w:tc>
        <w:tc>
          <w:tcPr>
            <w:tcW w:type="dxa" w:w="2948"/>
          </w:tcPr>
          <w:p>
            <w:pPr>
              <w:spacing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k=5 早筛候选</w:t>
            </w:r>
          </w:p>
        </w:tc>
        <w:tc>
          <w:tcPr>
            <w:tcW w:type="dxa" w:w="2948"/>
          </w:tcPr>
          <w:p>
            <w:pPr>
              <w:spacing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k=100 较充分校正候选</w:t>
            </w:r>
          </w:p>
        </w:tc>
      </w:tr>
      <w:tr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模型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M3R（策略、早期特征、原始电压）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M2（早期运行特征 Ridge）</w:t>
            </w:r>
          </w:p>
        </w:tc>
      </w:tr>
      <w:tr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寿命 RMSE_log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0.24070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0.23174</w:t>
            </w:r>
          </w:p>
        </w:tc>
      </w:tr>
      <w:tr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寿命 MAE_log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0.15714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0.17008</w:t>
            </w:r>
          </w:p>
        </w:tc>
      </w:tr>
      <w:tr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电芯等权未来 SOH RMSE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0.03299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0.03475</w:t>
            </w:r>
          </w:p>
        </w:tc>
      </w:tr>
      <w:tr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开发期角色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最早曲线增强筛查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较充分寿命/SOH 校正</w:t>
            </w:r>
          </w:p>
        </w:tc>
      </w:tr>
      <w:tr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不可超出的结论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寿命改善 bootstrap 区间跨 0</w:t>
            </w:r>
          </w:p>
        </w:tc>
        <w:tc>
          <w:tcPr>
            <w:tcW w:type="dxa" w:w="2948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尚待独立压力测试</w:t>
            </w:r>
          </w:p>
        </w:tc>
      </w:tr>
    </w:tbl>
    <w:tbl>
      <w:tblPr>
        <w:tblStyle w:val="13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</w:trPr>
        <w:tc>
          <w:tcPr>
            <w:tcW w:type="dxa" w:w="4422"/>
          </w:tcPr>
          <w:p>
            <w:pPr>
              <w:spacing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表 A3：Q4 开发期证据边界</w:t>
            </w:r>
          </w:p>
        </w:tc>
        <w:tc>
          <w:tcPr>
            <w:tcW w:type="dxa" w:w="4422"/>
          </w:tcPr>
          <w:p>
            <w:pPr>
              <w:spacing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数值 / 状态</w:t>
            </w:r>
          </w:p>
        </w:tc>
      </w:tr>
      <w:tr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仅训练集数学可行候选格点</w:t>
            </w:r>
          </w:p>
        </w:tc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3653</w:t>
            </w:r>
          </w:p>
        </w:tc>
      </w:tr>
      <w:tr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双空间且支持率不低于 80% 的 Q2 暂定候选</w:t>
            </w:r>
          </w:p>
        </w:tc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1775</w:t>
            </w:r>
          </w:p>
        </w:tc>
      </w:tr>
      <w:tr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已有策略数 / 至少 2 枚电芯的策略数</w:t>
            </w:r>
          </w:p>
        </w:tc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60 / 19</w:t>
            </w:r>
          </w:p>
        </w:tc>
      </w:tr>
      <w:tr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开发池非支配案例数</w:t>
            </w:r>
          </w:p>
        </w:tc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</w:tr>
      <w:tr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非支配案例的 n≥3 保留率 / 留一保留率</w:t>
            </w:r>
          </w:p>
        </w:tc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0 / 0</w:t>
            </w:r>
          </w:p>
        </w:tc>
      </w:tr>
      <w:tr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正确解释</w:t>
            </w:r>
          </w:p>
        </w:tc>
        <w:tc>
          <w:tcPr>
            <w:tcW w:type="dxa" w:w="4422"/>
          </w:tcPr>
          <w:p>
            <w:pPr>
              <w:spacing w:line="264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候选与权衡展示，不输出最优新策略</w:t>
            </w:r>
          </w:p>
        </w:tc>
      </w:tr>
    </w:tbl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531" w:bottom="1440" w:left="153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enlo">
    <w:altName w:val="Courier New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8D797">
    <w:pPr>
      <w:pStyle w:val="7"/>
      <w:ind w:firstLine="0" w:firstLineChars="0"/>
      <w:jc w:val="center"/>
      <w:rPr>
        <w:caps/>
        <w:color w:val="000000" w:themeColor="text1"/>
        <w:sz w:val="21"/>
        <w14:textFill>
          <w14:solidFill>
            <w14:schemeClr w14:val="tx1"/>
          </w14:solidFill>
        </w14:textFill>
      </w:rPr>
    </w:pP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begin"/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instrText xml:space="preserve">PAGE   \* MERGEFORMAT</w:instrTex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separate"/>
    </w:r>
    <w:r>
      <w:rPr>
        <w:caps/>
        <w:color w:val="000000" w:themeColor="text1"/>
        <w:sz w:val="21"/>
        <w:lang w:val="zh-CN"/>
        <w14:textFill>
          <w14:solidFill>
            <w14:schemeClr w14:val="tx1"/>
          </w14:solidFill>
        </w14:textFill>
      </w:rPr>
      <w:t>7</w: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end"/>
    </w:r>
    <w:r>
      <w:rPr>
        <w:rFonts w:ascii="宋体" w:hAnsi="宋体" w:eastAsia="宋体"/>
        <w:b w:val="0"/>
        <w:sz w:val="17"/>
      </w:rPr>
      <w:t>｜开发证据版（非最终）｜仅供论文撰写与交接使用</w:t>
    </w:r>
  </w:p>
  <w:p w14:paraId="009DA9DC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0295F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7A3B9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89BBD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8BF35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DAE9C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 w:ascii="黑体" w:hAnsi="黑体" w:eastAsia="黑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黑体" w:hAnsi="黑体" w:eastAsia="黑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黑体" w:hAnsi="黑体" w:eastAsia="黑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134651"/>
    <w:rsid w:val="001374D3"/>
    <w:rsid w:val="00144B2A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828E5"/>
    <w:rsid w:val="002A3EEA"/>
    <w:rsid w:val="002C0172"/>
    <w:rsid w:val="002C23D9"/>
    <w:rsid w:val="002C7F4D"/>
    <w:rsid w:val="002D209F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E348E"/>
    <w:rsid w:val="003E5411"/>
    <w:rsid w:val="0042468F"/>
    <w:rsid w:val="00432972"/>
    <w:rsid w:val="00443B9A"/>
    <w:rsid w:val="00476829"/>
    <w:rsid w:val="004873A8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31F5"/>
    <w:rsid w:val="00574AC2"/>
    <w:rsid w:val="00575FCC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5334D"/>
    <w:rsid w:val="00665939"/>
    <w:rsid w:val="006744CD"/>
    <w:rsid w:val="00696B38"/>
    <w:rsid w:val="006C057D"/>
    <w:rsid w:val="006C5041"/>
    <w:rsid w:val="006D4342"/>
    <w:rsid w:val="006E78E6"/>
    <w:rsid w:val="006F3BF2"/>
    <w:rsid w:val="00710749"/>
    <w:rsid w:val="00746792"/>
    <w:rsid w:val="007514C2"/>
    <w:rsid w:val="00785F59"/>
    <w:rsid w:val="007A4988"/>
    <w:rsid w:val="007A5476"/>
    <w:rsid w:val="007B2C6C"/>
    <w:rsid w:val="007D57BE"/>
    <w:rsid w:val="007E40F5"/>
    <w:rsid w:val="007F5C03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E70B3"/>
    <w:rsid w:val="00A01CB8"/>
    <w:rsid w:val="00A10DAA"/>
    <w:rsid w:val="00A11EC7"/>
    <w:rsid w:val="00A154AB"/>
    <w:rsid w:val="00A249FA"/>
    <w:rsid w:val="00A41D3C"/>
    <w:rsid w:val="00A422BF"/>
    <w:rsid w:val="00A50CDA"/>
    <w:rsid w:val="00A94FB5"/>
    <w:rsid w:val="00AA26EA"/>
    <w:rsid w:val="00AC0C64"/>
    <w:rsid w:val="00AC5569"/>
    <w:rsid w:val="00AD735E"/>
    <w:rsid w:val="00AE33B8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63512"/>
    <w:rsid w:val="00F91D20"/>
    <w:rsid w:val="00F9561D"/>
    <w:rsid w:val="00FA2AA2"/>
    <w:rsid w:val="00FA4A26"/>
    <w:rsid w:val="00FB417A"/>
    <w:rsid w:val="00FB7BFE"/>
    <w:rsid w:val="00FF19BF"/>
    <w:rsid w:val="02007D38"/>
    <w:rsid w:val="02F920DE"/>
    <w:rsid w:val="03C20E03"/>
    <w:rsid w:val="08017F69"/>
    <w:rsid w:val="095E5D5B"/>
    <w:rsid w:val="0E480BC8"/>
    <w:rsid w:val="133E363B"/>
    <w:rsid w:val="14076907"/>
    <w:rsid w:val="18FB02B6"/>
    <w:rsid w:val="1B171B26"/>
    <w:rsid w:val="1CE14D19"/>
    <w:rsid w:val="1E264227"/>
    <w:rsid w:val="1F2F15DC"/>
    <w:rsid w:val="20347977"/>
    <w:rsid w:val="24507E57"/>
    <w:rsid w:val="248E11CD"/>
    <w:rsid w:val="249E6E14"/>
    <w:rsid w:val="25D07231"/>
    <w:rsid w:val="28164755"/>
    <w:rsid w:val="287405B8"/>
    <w:rsid w:val="29E40E7E"/>
    <w:rsid w:val="2AED4651"/>
    <w:rsid w:val="2BC52ED8"/>
    <w:rsid w:val="2E4104BE"/>
    <w:rsid w:val="2E6D7F83"/>
    <w:rsid w:val="2F897553"/>
    <w:rsid w:val="311B7D98"/>
    <w:rsid w:val="32D81D7B"/>
    <w:rsid w:val="33A37FA3"/>
    <w:rsid w:val="3848736B"/>
    <w:rsid w:val="3C174336"/>
    <w:rsid w:val="3DDD67A7"/>
    <w:rsid w:val="3E552D1B"/>
    <w:rsid w:val="41AA2E44"/>
    <w:rsid w:val="43921968"/>
    <w:rsid w:val="44DC50C3"/>
    <w:rsid w:val="4689127A"/>
    <w:rsid w:val="48267C20"/>
    <w:rsid w:val="48A203D1"/>
    <w:rsid w:val="49B4660E"/>
    <w:rsid w:val="4CE73541"/>
    <w:rsid w:val="4E767FEC"/>
    <w:rsid w:val="53F73CC7"/>
    <w:rsid w:val="555925CB"/>
    <w:rsid w:val="55B54954"/>
    <w:rsid w:val="56486A5C"/>
    <w:rsid w:val="5AB20948"/>
    <w:rsid w:val="606C3347"/>
    <w:rsid w:val="6082700E"/>
    <w:rsid w:val="64EF09EB"/>
    <w:rsid w:val="655A52DF"/>
    <w:rsid w:val="66C043ED"/>
    <w:rsid w:val="6A0C433E"/>
    <w:rsid w:val="6A253167"/>
    <w:rsid w:val="6F3D3197"/>
    <w:rsid w:val="72912A35"/>
    <w:rsid w:val="76740D50"/>
    <w:rsid w:val="797D52E3"/>
    <w:rsid w:val="7AC52BDD"/>
    <w:rsid w:val="7C0F655D"/>
    <w:rsid w:val="7C350056"/>
    <w:rsid w:val="7FAC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120" w:after="120"/>
      <w:ind w:left="0" w:firstLine="0" w:firstLineChars="0"/>
      <w:jc w:val="center"/>
      <w:outlineLvl w:val="0"/>
    </w:pPr>
    <w:rPr>
      <w:rFonts w:ascii="黑体" w:hAnsi="黑体" w:eastAsia="黑体"/>
      <w:bCs/>
      <w:kern w:val="44"/>
      <w:sz w:val="28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after="50" w:afterLines="50"/>
      <w:ind w:left="0" w:firstLine="0" w:firstLineChars="0"/>
      <w:jc w:val="left"/>
      <w:outlineLvl w:val="1"/>
    </w:pPr>
    <w:rPr>
      <w:rFonts w:ascii="黑体" w:hAnsi="黑体" w:eastAsia="黑体" w:cstheme="majorBidi"/>
      <w:bCs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 w:eastAsia="黑体"/>
      <w:bCs/>
      <w:szCs w:val="32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6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uiPriority w:val="39"/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3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19">
    <w:name w:val="标题 1 字符"/>
    <w:basedOn w:val="14"/>
    <w:link w:val="2"/>
    <w:qFormat/>
    <w:uiPriority w:val="9"/>
    <w:rPr>
      <w:rFonts w:ascii="黑体" w:hAnsi="黑体" w:eastAsia="黑体"/>
      <w:bCs/>
      <w:kern w:val="44"/>
      <w:sz w:val="28"/>
      <w:szCs w:val="44"/>
    </w:rPr>
  </w:style>
  <w:style w:type="character" w:customStyle="1" w:styleId="20">
    <w:name w:val="标题 2 字符"/>
    <w:basedOn w:val="14"/>
    <w:link w:val="3"/>
    <w:qFormat/>
    <w:uiPriority w:val="9"/>
    <w:rPr>
      <w:rFonts w:ascii="黑体" w:hAnsi="黑体" w:eastAsia="黑体" w:cstheme="majorBidi"/>
      <w:bCs/>
      <w:sz w:val="24"/>
      <w:szCs w:val="32"/>
    </w:rPr>
  </w:style>
  <w:style w:type="character" w:customStyle="1" w:styleId="21">
    <w:name w:val="标题 3 字符"/>
    <w:basedOn w:val="14"/>
    <w:link w:val="4"/>
    <w:qFormat/>
    <w:uiPriority w:val="9"/>
    <w:rPr>
      <w:rFonts w:ascii="黑体" w:hAnsi="黑体" w:eastAsia="黑体"/>
      <w:bCs/>
      <w:sz w:val="24"/>
      <w:szCs w:val="32"/>
    </w:rPr>
  </w:style>
  <w:style w:type="paragraph" w:styleId="22">
    <w:name w:val="List Paragraph"/>
    <w:basedOn w:val="1"/>
    <w:qFormat/>
    <w:uiPriority w:val="34"/>
    <w:pPr>
      <w:ind w:firstLine="420"/>
    </w:pPr>
  </w:style>
  <w:style w:type="paragraph" w:customStyle="1" w:styleId="23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character" w:customStyle="1" w:styleId="24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5">
    <w:name w:val="Bibliography"/>
    <w:basedOn w:val="1"/>
    <w:next w:val="1"/>
    <w:unhideWhenUsed/>
    <w:qFormat/>
    <w:uiPriority w:val="37"/>
  </w:style>
  <w:style w:type="character" w:customStyle="1" w:styleId="26">
    <w:name w:val="批注框文本 字符"/>
    <w:basedOn w:val="14"/>
    <w:link w:val="6"/>
    <w:semiHidden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27">
    <w:name w:val="三线表"/>
    <w:basedOn w:val="12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8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2F5597" w:themeColor="accent1" w:themeShade="BF"/>
      <w:kern w:val="0"/>
      <w:sz w:val="32"/>
      <w:szCs w:val="32"/>
    </w:rPr>
  </w:style>
  <w:style w:type="character" w:styleId="29">
    <w:name w:val="Placeholder Text"/>
    <w:basedOn w:val="14"/>
    <w:semiHidden/>
    <w:qFormat/>
    <w:uiPriority w:val="99"/>
    <w:rPr>
      <w:color w:val="808080"/>
    </w:rPr>
  </w:style>
  <w:style w:type="character" w:customStyle="1" w:styleId="30">
    <w:name w:val="AMEquationSection"/>
    <w:basedOn w:val="14"/>
    <w:qFormat/>
    <w:uiPriority w:val="0"/>
    <w:rPr>
      <w:rFonts w:ascii="黑体" w:hAnsi="黑体" w:eastAsia="黑体"/>
      <w:color w:val="FF0000"/>
      <w:sz w:val="32"/>
      <w:szCs w:val="32"/>
    </w:rPr>
  </w:style>
  <w:style w:type="paragraph" w:customStyle="1" w:styleId="31">
    <w:name w:val="AMDisplayEquation"/>
    <w:basedOn w:val="2"/>
    <w:next w:val="1"/>
    <w:link w:val="32"/>
    <w:qFormat/>
    <w:uiPriority w:val="0"/>
    <w:pPr>
      <w:tabs>
        <w:tab w:val="center" w:pos="4420"/>
        <w:tab w:val="right" w:pos="8840"/>
      </w:tabs>
    </w:pPr>
    <w:rPr>
      <w:color w:val="FF0000"/>
    </w:rPr>
  </w:style>
  <w:style w:type="character" w:customStyle="1" w:styleId="32">
    <w:name w:val="AMDisplayEquation 字符"/>
    <w:basedOn w:val="14"/>
    <w:link w:val="31"/>
    <w:qFormat/>
    <w:uiPriority w:val="0"/>
    <w:rPr>
      <w:rFonts w:ascii="黑体" w:hAnsi="黑体" w:eastAsia="黑体"/>
      <w:bCs/>
      <w:color w:val="FF0000"/>
      <w:kern w:val="44"/>
      <w:sz w:val="28"/>
      <w:szCs w:val="44"/>
    </w:rPr>
  </w:style>
  <w:style w:type="paragraph" w:customStyle="1" w:styleId="33">
    <w:name w:val="EndNote Bibliography Title"/>
    <w:basedOn w:val="1"/>
    <w:link w:val="34"/>
    <w:qFormat/>
    <w:uiPriority w:val="0"/>
    <w:pPr>
      <w:jc w:val="center"/>
    </w:pPr>
    <w:rPr>
      <w:rFonts w:cs="Times New Roman"/>
    </w:rPr>
  </w:style>
  <w:style w:type="character" w:customStyle="1" w:styleId="34">
    <w:name w:val="EndNote Bibliography Title 字符"/>
    <w:basedOn w:val="14"/>
    <w:link w:val="33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35">
    <w:name w:val="EndNote Bibliography"/>
    <w:basedOn w:val="1"/>
    <w:link w:val="36"/>
    <w:qFormat/>
    <w:uiPriority w:val="0"/>
    <w:rPr>
      <w:rFonts w:cs="Times New Roman"/>
    </w:rPr>
  </w:style>
  <w:style w:type="character" w:customStyle="1" w:styleId="36">
    <w:name w:val="EndNote Bibliography 字符"/>
    <w:basedOn w:val="14"/>
    <w:link w:val="35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37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tit"/>
    <w:basedOn w:val="14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16.png"/><Relationship Id="rId26" Type="http://schemas.openxmlformats.org/officeDocument/2006/relationships/image" Target="media/image15.wmf"/><Relationship Id="rId25" Type="http://schemas.openxmlformats.org/officeDocument/2006/relationships/image" Target="media/image14.wmf"/><Relationship Id="rId24" Type="http://schemas.openxmlformats.org/officeDocument/2006/relationships/image" Target="media/image13.wmf"/><Relationship Id="rId23" Type="http://schemas.openxmlformats.org/officeDocument/2006/relationships/image" Target="media/image12.wmf"/><Relationship Id="rId22" Type="http://schemas.openxmlformats.org/officeDocument/2006/relationships/image" Target="media/image11.wmf"/><Relationship Id="rId21" Type="http://schemas.openxmlformats.org/officeDocument/2006/relationships/image" Target="media/image10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image" Target="media/image7.wmf"/><Relationship Id="rId17" Type="http://schemas.openxmlformats.org/officeDocument/2006/relationships/image" Target="media/image6.wmf"/><Relationship Id="rId16" Type="http://schemas.openxmlformats.org/officeDocument/2006/relationships/image" Target="media/image5.wmf"/><Relationship Id="rId15" Type="http://schemas.openxmlformats.org/officeDocument/2006/relationships/image" Target="media/image4.wmf"/><Relationship Id="rId14" Type="http://schemas.openxmlformats.org/officeDocument/2006/relationships/image" Target="media/image3.wmf"/><Relationship Id="rId13" Type="http://schemas.openxmlformats.org/officeDocument/2006/relationships/image" Target="media/image2.wmf"/><Relationship Id="rId12" Type="http://schemas.openxmlformats.org/officeDocument/2006/relationships/image" Target="media/image1.wmf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3057</Words>
  <Characters>3222</Characters>
  <Lines>26</Lines>
  <Paragraphs>7</Paragraphs>
  <TotalTime>3</TotalTime>
  <ScaleCrop>false</ScaleCrop>
  <LinksUpToDate>false</LinksUpToDate>
  <CharactersWithSpaces>3249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2020-11-19T05:53:00Z</dcterms:created>
  <dc:creator>sxjm qf</dc:creator>
  <cp:lastModifiedBy>talentedabc</cp:lastModifiedBy>
  <cp:lastPrinted>2020-11-30T03:40:00Z</cp:lastPrinted>
  <dcterms:modified xsi:type="dcterms:W3CDTF">2026-08-02T15:51:02Z</dcterms:modified>
  <cp:revision>180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TemplateDocerSaveRecord">
    <vt:lpwstr>eyJoZGlkIjoiZjYwYzI1Njg2MzQxODhlMmFlNTM0YWU3NTY4ZWZkMDIiLCJ1c2VySWQiOiI1MDc0MDU0NDYifQ==</vt:lpwstr>
  </property>
  <property fmtid="{D5CDD505-2E9C-101B-9397-08002B2CF9AE}" pid="8" name="KSOProductBuildVer">
    <vt:lpwstr>2052-12.1.0.24034</vt:lpwstr>
  </property>
  <property fmtid="{D5CDD505-2E9C-101B-9397-08002B2CF9AE}" pid="9" name="ICV">
    <vt:lpwstr>7AA14453702F4F0BB541182CC55AAD1F_12</vt:lpwstr>
  </property>
</Properties>
</file>