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24" w:lineRule="auto"/>
        <w:ind w:firstLine="0"/>
        <w:jc w:val="center"/>
      </w:pPr>
      <w:r>
        <w:rPr>
          <w:rFonts w:ascii="宋体" w:hAnsi="宋体" w:eastAsia="宋体"/>
          <w:b/>
          <w:sz w:val="36"/>
        </w:rPr>
        <w:t>不同 SOC 区间快充策略与电池寿命的建模研究</w:t>
      </w:r>
    </w:p>
    <w:p>
      <w:pPr>
        <w:spacing w:line="324" w:lineRule="auto"/>
        <w:ind w:firstLine="0"/>
        <w:jc w:val="center"/>
      </w:pPr>
      <w:r>
        <w:rPr>
          <w:rFonts w:ascii="宋体" w:hAnsi="宋体" w:eastAsia="宋体"/>
          <w:b w:val="0"/>
          <w:sz w:val="22"/>
        </w:rPr>
        <w:t>冻结结果写作版（已纳入一次性 Secondary 压力测试；不将候选策略写成最终推荐）</w:t>
      </w:r>
    </w:p>
    <w:p>
      <w:pPr>
        <w:spacing w:line="324" w:lineRule="auto"/>
        <w:ind w:firstLine="0"/>
        <w:jc w:val="center"/>
      </w:pPr>
      <w:r>
        <w:rPr>
          <w:rFonts w:ascii="宋体" w:hAnsi="宋体" w:eastAsia="宋体"/>
          <w:b w:val="0"/>
          <w:sz w:val="19"/>
        </w:rPr>
        <w:t>说明：模型角色、窗口、特征、指标与 bootstrap 设置已冻结；Secondary 只读取一次，未据此调参或重选。</w:t>
      </w:r>
    </w:p>
    <w:p>
      <w:pPr>
        <w:pStyle w:val="2"/>
        <w:spacing w:before="200" w:after="100"/>
      </w:pPr>
      <w:r>
        <w:rPr>
          <w:rFonts w:ascii="黑体" w:hAnsi="黑体" w:eastAsia="黑体"/>
          <w:b/>
          <w:sz w:val="28"/>
        </w:rPr>
        <w:t>摘要</w:t>
      </w:r>
    </w:p>
    <w:p>
      <w:pPr>
        <w:spacing w:line="324" w:lineRule="auto"/>
        <w:ind w:firstLine="420"/>
        <w:jc w:val="both"/>
      </w:pPr>
      <w:r>
        <w:rPr>
          <w:rFonts w:ascii="宋体" w:hAnsi="宋体" w:eastAsia="宋体"/>
          <w:b w:val="0"/>
          <w:sz w:val="21"/>
        </w:rPr>
        <w:t>针对两段式快充中补能时间、循环寿命与早期健康状态难以兼顾的问题，建立“深层数据审计—策略级条件关联—早期运行后校正—受支持域约束的候选试验”四层模型。以原论文 Table 9 的条码、策略与循环寿命为权威口径，将三批 MAT 文件按物理条码连接，采用字段—循环掩码处理局部曲线异常，得到 124 枚正式分析电芯和 99,279 行循环级记录。首先以重复策略组的聚合结果进行观察性比较：27 个具有至少两枚电芯的策略组平均寿命为 546.5–2083.0 cycle，但跨分区重复策略的 Spearman 相关 95% 区间跨 0，因而不作稳定排序或因果判断。其次，以主效应 Ridge 建立策略—寿命的保守关联模型；二阶交互 Ridge 的 MAE_log 点估计改善 8.91%，但其策略组 bootstrap 区间跨 0，仅保留为敏感性分析。随后，在严格只使用截止循环前信息的条件下，以早期特征 Ridge 与训练折单调 SOH 模板联合预测寿命和未来 SOH。Secondary 上 40 枚电芯均可评价、模板失败为 0；但原始曲线增强的 k=5 challenger 未复现开发期优势，故 k=5 仅保留为早筛记录，k=100 仅保留为预先冻结的较充分校正窗口的外部报告。最后，以双空间 5-NN 支持域和 1,000 次条码 bootstrap 从 3,653 个离散格点筛得 1,775 个待试验候选，并设计每点不少于 3 枚电芯、运行至 k=100 的 pilot 闭环。该框架将“模型可计算的候选”与“经真实实验确认的策略”分开，当前不输出最优新充电处方。</w:t>
      </w:r>
    </w:p>
    <w:p>
      <w:pPr>
        <w:spacing w:line="324" w:lineRule="auto"/>
        <w:ind w:firstLine="420"/>
        <w:jc w:val="both"/>
      </w:pPr>
      <w:r>
        <w:rPr>
          <w:rFonts w:ascii="宋体" w:hAnsi="宋体" w:eastAsia="宋体"/>
          <w:b w:val="0"/>
          <w:sz w:val="21"/>
        </w:rPr>
        <w:t>关键词： 两段式快充；循环寿命；SOC；Ridge 回归；早期 SOH；支持域；试验验证</w:t>
      </w:r>
    </w:p>
    <w:p>
      <w:pPr>
        <w:pStyle w:val="2"/>
        <w:spacing w:before="200" w:after="100"/>
      </w:pPr>
      <w:r>
        <w:rPr>
          <w:rFonts w:ascii="黑体" w:hAnsi="黑体" w:eastAsia="黑体"/>
          <w:b/>
          <w:sz w:val="28"/>
        </w:rPr>
        <w:t>1 问题重述与研究边界</w:t>
      </w:r>
    </w:p>
    <w:p>
      <w:pPr>
        <w:spacing w:line="324" w:lineRule="auto"/>
        <w:ind w:firstLine="420"/>
        <w:jc w:val="both"/>
      </w:pPr>
      <w:r>
        <w:rPr>
          <w:rFonts w:ascii="宋体" w:hAnsi="宋体" w:eastAsia="宋体"/>
          <w:b w:val="0"/>
          <w:sz w:val="21"/>
        </w:rPr>
        <w:t>在 0–80% SOC 区间，充电策略由第一阶段倍率 C₁、切换比例 q 和第二阶段倍率 C₂ 表示；80% SOC 后为统一的 1C–CV 协议。本文回答四个问题：审计并整理原始记录；比较已观测策略的寿命差异；用早期运行信息预测寿命和未来 SOH；在已有实验覆盖范围或合理邻域内形成候选策略筛选与试验验证框架。</w:t>
      </w:r>
    </w:p>
    <w:p>
      <w:pPr>
        <w:spacing w:line="324" w:lineRule="auto"/>
        <w:ind w:firstLine="420"/>
        <w:jc w:val="both"/>
      </w:pPr>
      <w:r>
        <w:rPr>
          <w:rFonts w:ascii="宋体" w:hAnsi="宋体" w:eastAsia="宋体"/>
          <w:b w:val="0"/>
          <w:sz w:val="21"/>
        </w:rPr>
        <w:t>`IR` 的单位为 Ω，`chargetime` 的单位为 min。参考文献中的 3.6 V 是原研究的数据采集协议背景，而非本题额外给定的安全硬约束；因此不将其代入候选策略的硬约束。所有原始 MAT 文件保持只读；Train 仅用于拟合与选型，Primary 只作一次受限确认，Secondary 留作冻结规则下的一次性最终压力测试。</w:t>
      </w:r>
    </w:p>
    <w:p>
      <w:pPr>
        <w:pStyle w:val="2"/>
        <w:spacing w:before="200" w:after="100"/>
      </w:pPr>
      <w:r>
        <w:rPr>
          <w:rFonts w:ascii="黑体" w:hAnsi="黑体" w:eastAsia="黑体"/>
          <w:b/>
          <w:sz w:val="28"/>
        </w:rPr>
        <w:t>2 数据审计、假设与符号</w:t>
      </w:r>
    </w:p>
    <w:p>
      <w:pPr>
        <w:spacing w:line="324" w:lineRule="auto"/>
        <w:ind w:firstLine="420"/>
        <w:jc w:val="both"/>
      </w:pPr>
      <w:r>
        <w:rPr>
          <w:rFonts w:ascii="宋体" w:hAnsi="宋体" w:eastAsia="宋体"/>
          <w:b w:val="0"/>
          <w:sz w:val="21"/>
        </w:rPr>
        <w:t>三批原始记录共 140 条；按条码合并 5 个续测片段后，Table 9 正式分析对象为 124 枚物理电芯，11 条未进入 Table 9 的本地记录只保留为审计证据。正式循环级视图共 99,279 行。对每个嵌套循环逐字段审查 t、Qc、I、V、T、Qd 的长度一致性、NaN/Inf、时间倒序和物理边界。异常处理的最小单位是“字段—循环”：某字段被掩码时，只禁止该字段进入相应曲线特征，不因少量局部异常静默剔除整枚电芯。</w:t>
      </w:r>
    </w:p>
    <w:tbl>
      <w:tblPr>
        <w:tblStyle w:val="13"/>
        <w:tblW w:type="auto" w:w="0"/>
        <w:tblLook w:firstColumn="1" w:firstRow="1" w:lastColumn="0" w:lastRow="0" w:noHBand="0" w:noVBand="1" w:val="04A0"/>
      </w:tblPr>
      <w:tblGrid>
        <w:gridCol w:w="2948"/>
        <w:gridCol w:w="2948"/>
        <w:gridCol w:w="2948"/>
      </w:tblGrid>
      <w:tr>
        <w:trPr>
          <w:tblHeader w:val="true"/>
        </w:trPr>
        <w:tc>
          <w:tcPr>
            <w:tcW w:type="dxa" w:w="2948"/>
          </w:tcPr>
          <w:p>
            <w:pPr>
              <w:spacing w:line="264" w:lineRule="auto"/>
              <w:jc w:val="center"/>
            </w:pPr>
            <w:r>
              <w:rPr>
                <w:rFonts w:ascii="宋体" w:hAnsi="宋体" w:eastAsia="宋体"/>
                <w:b/>
                <w:sz w:val="17"/>
              </w:rPr>
              <w:t>符号</w:t>
            </w:r>
          </w:p>
        </w:tc>
        <w:tc>
          <w:tcPr>
            <w:tcW w:type="dxa" w:w="2948"/>
          </w:tcPr>
          <w:p>
            <w:pPr>
              <w:spacing w:line="264" w:lineRule="auto"/>
              <w:jc w:val="center"/>
            </w:pPr>
            <w:r>
              <w:rPr>
                <w:rFonts w:ascii="宋体" w:hAnsi="宋体" w:eastAsia="宋体"/>
                <w:b/>
                <w:sz w:val="17"/>
              </w:rPr>
              <w:t>含义</w:t>
            </w:r>
          </w:p>
        </w:tc>
        <w:tc>
          <w:tcPr>
            <w:tcW w:type="dxa" w:w="2948"/>
          </w:tcPr>
          <w:p>
            <w:pPr>
              <w:spacing w:line="264" w:lineRule="auto"/>
              <w:jc w:val="center"/>
            </w:pPr>
            <w:r>
              <w:rPr>
                <w:rFonts w:ascii="宋体" w:hAnsi="宋体" w:eastAsia="宋体"/>
                <w:b/>
                <w:sz w:val="17"/>
              </w:rPr>
              <w:t>单位或范围</w:t>
            </w:r>
          </w:p>
        </w:tc>
      </w:tr>
      <w:tr>
        <w:tc>
          <w:tcPr>
            <w:tcW w:type="dxa" w:w="2948"/>
          </w:tcPr>
          <w:p>
            <w:pPr>
              <w:spacing w:line="264" w:lineRule="auto"/>
              <w:jc w:val="left"/>
            </w:pPr>
            <w:r>
              <w:rPr>
                <w:rFonts w:ascii="宋体" w:hAnsi="宋体" w:eastAsia="宋体"/>
                <w:b w:val="0"/>
                <w:sz w:val="17"/>
              </w:rPr>
              <w:t>C₁，C₂</w:t>
            </w:r>
          </w:p>
        </w:tc>
        <w:tc>
          <w:tcPr>
            <w:tcW w:type="dxa" w:w="2948"/>
          </w:tcPr>
          <w:p>
            <w:pPr>
              <w:spacing w:line="264" w:lineRule="auto"/>
              <w:jc w:val="left"/>
            </w:pPr>
            <w:r>
              <w:rPr>
                <w:rFonts w:ascii="宋体" w:hAnsi="宋体" w:eastAsia="宋体"/>
                <w:b w:val="0"/>
                <w:sz w:val="17"/>
              </w:rPr>
              <w:t>两段恒流充电倍率</w:t>
            </w:r>
          </w:p>
        </w:tc>
        <w:tc>
          <w:tcPr>
            <w:tcW w:type="dxa" w:w="2948"/>
          </w:tcPr>
          <w:p>
            <w:pPr>
              <w:spacing w:line="264" w:lineRule="auto"/>
              <w:jc w:val="left"/>
            </w:pPr>
            <w:r>
              <w:rPr>
                <w:rFonts w:ascii="宋体" w:hAnsi="宋体" w:eastAsia="宋体"/>
                <w:b w:val="0"/>
                <w:sz w:val="17"/>
              </w:rPr>
              <w:t>C-rate</w:t>
            </w:r>
          </w:p>
        </w:tc>
      </w:tr>
      <w:tr>
        <w:tc>
          <w:tcPr>
            <w:tcW w:type="dxa" w:w="2948"/>
          </w:tcPr>
          <w:p>
            <w:pPr>
              <w:spacing w:line="264" w:lineRule="auto"/>
              <w:jc w:val="left"/>
            </w:pPr>
            <w:r>
              <w:rPr>
                <w:rFonts w:ascii="宋体" w:hAnsi="宋体" w:eastAsia="宋体"/>
                <w:b w:val="0"/>
                <w:sz w:val="17"/>
              </w:rPr>
              <w:t>q</w:t>
            </w:r>
          </w:p>
        </w:tc>
        <w:tc>
          <w:tcPr>
            <w:tcW w:type="dxa" w:w="2948"/>
          </w:tcPr>
          <w:p>
            <w:pPr>
              <w:spacing w:line="264" w:lineRule="auto"/>
              <w:jc w:val="left"/>
            </w:pPr>
            <w:r>
              <w:rPr>
                <w:rFonts w:ascii="宋体" w:hAnsi="宋体" w:eastAsia="宋体"/>
                <w:b w:val="0"/>
                <w:sz w:val="17"/>
              </w:rPr>
              <w:t>两段倍率的切换 SOC 比例</w:t>
            </w:r>
          </w:p>
        </w:tc>
        <w:tc>
          <w:tcPr>
            <w:tcW w:type="dxa" w:w="2948"/>
          </w:tcPr>
          <w:p>
            <w:pPr>
              <w:spacing w:line="264" w:lineRule="auto"/>
              <w:jc w:val="left"/>
            </w:pPr>
            <w:r>
              <w:rPr>
                <w:rFonts w:ascii="宋体" w:hAnsi="宋体" w:eastAsia="宋体"/>
                <w:b w:val="0"/>
                <w:sz w:val="17"/>
              </w:rPr>
              <w:t>0–0.8</w:t>
            </w:r>
          </w:p>
        </w:tc>
      </w:tr>
      <w:tr>
        <w:tc>
          <w:tcPr>
            <w:tcW w:type="dxa" w:w="2948"/>
          </w:tcPr>
          <w:p>
            <w:pPr>
              <w:spacing w:line="264" w:lineRule="auto"/>
              <w:jc w:val="left"/>
            </w:pPr>
            <w:r>
              <w:rPr>
                <w:rFonts w:ascii="宋体" w:hAnsi="宋体" w:eastAsia="宋体"/>
                <w:b w:val="0"/>
                <w:sz w:val="17"/>
              </w:rPr>
              <w:t>L，L̂</w:t>
            </w:r>
          </w:p>
        </w:tc>
        <w:tc>
          <w:tcPr>
            <w:tcW w:type="dxa" w:w="2948"/>
          </w:tcPr>
          <w:p>
            <w:pPr>
              <w:spacing w:line="264" w:lineRule="auto"/>
              <w:jc w:val="left"/>
            </w:pPr>
            <w:r>
              <w:rPr>
                <w:rFonts w:ascii="宋体" w:hAnsi="宋体" w:eastAsia="宋体"/>
                <w:b w:val="0"/>
                <w:sz w:val="17"/>
              </w:rPr>
              <w:t>官方循环寿命及其预测</w:t>
            </w:r>
          </w:p>
        </w:tc>
        <w:tc>
          <w:tcPr>
            <w:tcW w:type="dxa" w:w="2948"/>
          </w:tcPr>
          <w:p>
            <w:pPr>
              <w:spacing w:line="264" w:lineRule="auto"/>
              <w:jc w:val="left"/>
            </w:pPr>
            <w:r>
              <w:rPr>
                <w:rFonts w:ascii="宋体" w:hAnsi="宋体" w:eastAsia="宋体"/>
                <w:b w:val="0"/>
                <w:sz w:val="17"/>
              </w:rPr>
              <w:t>cycle</w:t>
            </w:r>
          </w:p>
        </w:tc>
      </w:tr>
      <w:tr>
        <w:tc>
          <w:tcPr>
            <w:tcW w:type="dxa" w:w="2948"/>
          </w:tcPr>
          <w:p>
            <w:pPr>
              <w:spacing w:line="264" w:lineRule="auto"/>
              <w:jc w:val="left"/>
            </w:pPr>
            <w:r>
              <w:rPr>
                <w:rFonts w:ascii="宋体" w:hAnsi="宋体" w:eastAsia="宋体"/>
                <w:b w:val="0"/>
                <w:sz w:val="17"/>
              </w:rPr>
              <w:t>z</w:t>
            </w:r>
          </w:p>
        </w:tc>
        <w:tc>
          <w:tcPr>
            <w:tcW w:type="dxa" w:w="2948"/>
          </w:tcPr>
          <w:p>
            <w:pPr>
              <w:spacing w:line="264" w:lineRule="auto"/>
              <w:jc w:val="left"/>
            </w:pPr>
            <w:r>
              <w:rPr>
                <w:rFonts w:ascii="宋体" w:hAnsi="宋体" w:eastAsia="宋体"/>
                <w:b w:val="0"/>
                <w:sz w:val="17"/>
              </w:rPr>
              <w:t>对数寿命，z=ln(L)</w:t>
            </w:r>
          </w:p>
        </w:tc>
        <w:tc>
          <w:tcPr>
            <w:tcW w:type="dxa" w:w="2948"/>
          </w:tcPr>
          <w:p>
            <w:pPr>
              <w:spacing w:line="264" w:lineRule="auto"/>
              <w:jc w:val="left"/>
            </w:pPr>
            <w:r>
              <w:rPr>
                <w:rFonts w:ascii="宋体" w:hAnsi="宋体" w:eastAsia="宋体"/>
                <w:b w:val="0"/>
                <w:sz w:val="17"/>
              </w:rPr>
              <w:t>无量纲</w:t>
            </w:r>
          </w:p>
        </w:tc>
      </w:tr>
      <w:tr>
        <w:tc>
          <w:tcPr>
            <w:tcW w:type="dxa" w:w="2948"/>
          </w:tcPr>
          <w:p>
            <w:pPr>
              <w:spacing w:line="264" w:lineRule="auto"/>
              <w:jc w:val="left"/>
            </w:pPr>
            <w:r>
              <w:rPr>
                <w:rFonts w:ascii="宋体" w:hAnsi="宋体" w:eastAsia="宋体"/>
                <w:b w:val="0"/>
                <w:sz w:val="17"/>
              </w:rPr>
              <w:t>k</w:t>
            </w:r>
          </w:p>
        </w:tc>
        <w:tc>
          <w:tcPr>
            <w:tcW w:type="dxa" w:w="2948"/>
          </w:tcPr>
          <w:p>
            <w:pPr>
              <w:spacing w:line="264" w:lineRule="auto"/>
              <w:jc w:val="left"/>
            </w:pPr>
            <w:r>
              <w:rPr>
                <w:rFonts w:ascii="宋体" w:hAnsi="宋体" w:eastAsia="宋体"/>
                <w:b w:val="0"/>
                <w:sz w:val="17"/>
              </w:rPr>
              <w:t>早期信息截止循环</w:t>
            </w:r>
          </w:p>
        </w:tc>
        <w:tc>
          <w:tcPr>
            <w:tcW w:type="dxa" w:w="2948"/>
          </w:tcPr>
          <w:p>
            <w:pPr>
              <w:spacing w:line="264" w:lineRule="auto"/>
              <w:jc w:val="left"/>
            </w:pPr>
            <w:r>
              <w:rPr>
                <w:rFonts w:ascii="宋体" w:hAnsi="宋体" w:eastAsia="宋体"/>
                <w:b w:val="0"/>
                <w:sz w:val="17"/>
              </w:rPr>
              <w:t>5，10，20，50，100</w:t>
            </w:r>
          </w:p>
        </w:tc>
      </w:tr>
      <w:tr>
        <w:tc>
          <w:tcPr>
            <w:tcW w:type="dxa" w:w="2948"/>
          </w:tcPr>
          <w:p>
            <w:pPr>
              <w:spacing w:line="264" w:lineRule="auto"/>
              <w:jc w:val="left"/>
            </w:pPr>
            <w:r>
              <w:rPr>
                <w:rFonts w:ascii="宋体" w:hAnsi="宋体" w:eastAsia="宋体"/>
                <w:b w:val="0"/>
                <w:sz w:val="17"/>
              </w:rPr>
              <w:t>SOH</w:t>
            </w:r>
          </w:p>
        </w:tc>
        <w:tc>
          <w:tcPr>
            <w:tcW w:type="dxa" w:w="2948"/>
          </w:tcPr>
          <w:p>
            <w:pPr>
              <w:spacing w:line="264" w:lineRule="auto"/>
              <w:jc w:val="left"/>
            </w:pPr>
            <w:r>
              <w:rPr>
                <w:rFonts w:ascii="宋体" w:hAnsi="宋体" w:eastAsia="宋体"/>
                <w:b w:val="0"/>
                <w:sz w:val="17"/>
              </w:rPr>
              <w:t>放电容量相对健康状态</w:t>
            </w:r>
          </w:p>
        </w:tc>
        <w:tc>
          <w:tcPr>
            <w:tcW w:type="dxa" w:w="2948"/>
          </w:tcPr>
          <w:p>
            <w:pPr>
              <w:spacing w:line="264" w:lineRule="auto"/>
              <w:jc w:val="left"/>
            </w:pPr>
            <w:r>
              <w:rPr>
                <w:rFonts w:ascii="宋体" w:hAnsi="宋体" w:eastAsia="宋体"/>
                <w:b w:val="0"/>
                <w:sz w:val="17"/>
              </w:rPr>
              <w:t>无量纲</w:t>
            </w:r>
          </w:p>
        </w:tc>
      </w:tr>
      <w:tr>
        <w:tc>
          <w:tcPr>
            <w:tcW w:type="dxa" w:w="2948"/>
          </w:tcPr>
          <w:p>
            <w:pPr>
              <w:spacing w:line="264" w:lineRule="auto"/>
              <w:jc w:val="left"/>
            </w:pPr>
            <w:r>
              <w:rPr>
                <w:rFonts w:ascii="宋体" w:hAnsi="宋体" w:eastAsia="宋体"/>
                <w:b w:val="0"/>
                <w:sz w:val="17"/>
              </w:rPr>
              <w:t>τ₀–₈₀</w:t>
            </w:r>
          </w:p>
        </w:tc>
        <w:tc>
          <w:tcPr>
            <w:tcW w:type="dxa" w:w="2948"/>
          </w:tcPr>
          <w:p>
            <w:pPr>
              <w:spacing w:line="264" w:lineRule="auto"/>
              <w:jc w:val="left"/>
            </w:pPr>
            <w:r>
              <w:rPr>
                <w:rFonts w:ascii="宋体" w:hAnsi="宋体" w:eastAsia="宋体"/>
                <w:b w:val="0"/>
                <w:sz w:val="17"/>
              </w:rPr>
              <w:t>0–80% 恒流阶段理论充电时间</w:t>
            </w:r>
          </w:p>
        </w:tc>
        <w:tc>
          <w:tcPr>
            <w:tcW w:type="dxa" w:w="2948"/>
          </w:tcPr>
          <w:p>
            <w:pPr>
              <w:spacing w:line="264" w:lineRule="auto"/>
              <w:jc w:val="left"/>
            </w:pPr>
            <w:r>
              <w:rPr>
                <w:rFonts w:ascii="宋体" w:hAnsi="宋体" w:eastAsia="宋体"/>
                <w:b w:val="0"/>
                <w:sz w:val="17"/>
              </w:rPr>
              <w:t>min</w:t>
            </w:r>
          </w:p>
        </w:tc>
      </w:tr>
    </w:tbl>
    <w:p>
      <w:pPr>
        <w:spacing w:line="324" w:lineRule="auto"/>
        <w:ind w:firstLine="420"/>
        <w:jc w:val="both"/>
      </w:pPr>
      <w:r>
        <w:rPr>
          <w:rFonts w:ascii="宋体" w:hAnsi="宋体" w:eastAsia="宋体"/>
          <w:b w:val="0"/>
          <w:sz w:val="21"/>
        </w:rPr>
        <w:t>核心假设为：Table 9 的身份、策略和寿命标签为权威口径；同一 `policy_table9` 始终作为交叉验证与 bootstrap 的同一组；当前数据只能支持条件关联与预测而不能识别因果效应；SOH 模板用于轨迹校正，若外部失配则不得以 Secondary 反向调参。</w:t>
      </w:r>
    </w:p>
    <w:p>
      <w:pPr>
        <w:pStyle w:val="2"/>
        <w:spacing w:before="200" w:after="100"/>
      </w:pPr>
      <w:r>
        <w:rPr>
          <w:rFonts w:ascii="黑体" w:hAnsi="黑体" w:eastAsia="黑体"/>
          <w:b/>
          <w:sz w:val="28"/>
        </w:rPr>
        <w:t>3 Q1：电芯差异与策略级观察性比较</w:t>
      </w:r>
    </w:p>
    <w:p>
      <w:pPr>
        <w:jc w:val="center"/>
      </w:pPr>
      <w:r>
        <w:drawing>
          <wp:inline xmlns:a="http://schemas.openxmlformats.org/drawingml/2006/main" xmlns:pic="http://schemas.openxmlformats.org/drawingml/2006/picture">
            <wp:extent cx="4953000" cy="1906331"/>
            <wp:docPr id="1" name="Picture 1" descr="图 1  正式分析电芯的循环寿命分布" title="图 1  正式分析电芯的循环寿命分布"/>
            <wp:cNvGraphicFramePr>
              <a:graphicFrameLocks noChangeAspect="1"/>
            </wp:cNvGraphicFramePr>
            <a:graphic>
              <a:graphicData uri="http://schemas.openxmlformats.org/drawingml/2006/picture">
                <pic:pic>
                  <pic:nvPicPr>
                    <pic:cNvPr id="0" name="q1_01_lifetime_distribution.png"/>
                    <pic:cNvPicPr/>
                  </pic:nvPicPr>
                  <pic:blipFill>
                    <a:blip r:embed="rId31"/>
                    <a:stretch>
                      <a:fillRect/>
                    </a:stretch>
                  </pic:blipFill>
                  <pic:spPr>
                    <a:xfrm>
                      <a:off x="0" y="0"/>
                      <a:ext cx="4953000" cy="1906331"/>
                    </a:xfrm>
                    <a:prstGeom prst="rect"/>
                  </pic:spPr>
                </pic:pic>
              </a:graphicData>
            </a:graphic>
          </wp:inline>
        </w:drawing>
      </w:r>
    </w:p>
    <w:p>
      <w:pPr>
        <w:jc w:val="center"/>
      </w:pPr>
      <w:r>
        <w:rPr>
          <w:rFonts w:ascii="宋体" w:hAnsi="宋体" w:eastAsia="宋体"/>
          <w:b w:val="0"/>
          <w:sz w:val="18"/>
        </w:rPr>
        <w:t>图 1  正式分析电芯的循环寿命分布</w:t>
      </w:r>
    </w:p>
    <w:p>
      <w:pPr>
        <w:jc w:val="center"/>
      </w:pPr>
      <w:r>
        <w:drawing>
          <wp:inline xmlns:a="http://schemas.openxmlformats.org/drawingml/2006/main" xmlns:pic="http://schemas.openxmlformats.org/drawingml/2006/picture">
            <wp:extent cx="4953000" cy="2123375"/>
            <wp:docPr id="2" name="Picture 2" descr="图 2  具有重复支撑的策略组寿命比较（观察性对照）" title="图 2  具有重复支撑的策略组寿命比较"/>
            <wp:cNvGraphicFramePr>
              <a:graphicFrameLocks noChangeAspect="1"/>
            </wp:cNvGraphicFramePr>
            <a:graphic>
              <a:graphicData uri="http://schemas.openxmlformats.org/drawingml/2006/picture">
                <pic:pic>
                  <pic:nvPicPr>
                    <pic:cNvPr id="0" name="q1_07_policy_lifetime_top_bottom.png"/>
                    <pic:cNvPicPr/>
                  </pic:nvPicPr>
                  <pic:blipFill>
                    <a:blip r:embed="rId32"/>
                    <a:stretch>
                      <a:fillRect/>
                    </a:stretch>
                  </pic:blipFill>
                  <pic:spPr>
                    <a:xfrm>
                      <a:off x="0" y="0"/>
                      <a:ext cx="4953000" cy="2123375"/>
                    </a:xfrm>
                    <a:prstGeom prst="rect"/>
                  </pic:spPr>
                </pic:pic>
              </a:graphicData>
            </a:graphic>
          </wp:inline>
        </w:drawing>
      </w:r>
    </w:p>
    <w:p>
      <w:pPr>
        <w:jc w:val="center"/>
      </w:pPr>
      <w:r>
        <w:rPr>
          <w:rFonts w:ascii="宋体" w:hAnsi="宋体" w:eastAsia="宋体"/>
          <w:b w:val="0"/>
          <w:sz w:val="18"/>
        </w:rPr>
        <w:t>图 2  具有重复支撑的策略组寿命比较（观察性对照）</w:t>
      </w:r>
    </w:p>
    <w:p>
      <w:pPr>
        <w:spacing w:line="324" w:lineRule="auto"/>
        <w:ind w:firstLine="420"/>
        <w:jc w:val="both"/>
      </w:pPr>
      <w:r>
        <w:rPr>
          <w:rFonts w:ascii="宋体" w:hAnsi="宋体" w:eastAsia="宋体"/>
          <w:b w:val="0"/>
          <w:sz w:val="21"/>
        </w:rPr>
        <w:t>### 3.1 电芯级寿命异质性</w:t>
      </w:r>
    </w:p>
    <w:p>
      <w:pPr>
        <w:spacing w:line="324" w:lineRule="auto"/>
        <w:ind w:firstLine="420"/>
        <w:jc w:val="both"/>
      </w:pPr>
      <w:r>
        <w:rPr>
          <w:rFonts w:ascii="宋体" w:hAnsi="宋体" w:eastAsia="宋体"/>
          <w:b w:val="0"/>
          <w:sz w:val="21"/>
        </w:rPr>
        <w:t>124 枚电芯的平均寿命为 801.64 cycle，中位数为 736.50 cycle，四分位数为 498.75 和 946.50 cycle，范围为 148–2237 cycle。经 2,000 次 bootstrap，中位数的 95% 区间为 [651.00，825.00] cycle。寿命分布呈右偏长尾，表明以单一代表电芯描述总体会遮蔽明显的个体差异。</w:t>
      </w:r>
    </w:p>
    <w:p>
      <w:pPr>
        <w:spacing w:line="324" w:lineRule="auto"/>
        <w:ind w:firstLine="420"/>
        <w:jc w:val="both"/>
      </w:pPr>
      <w:r>
        <w:rPr>
          <w:rFonts w:ascii="宋体" w:hAnsi="宋体" w:eastAsia="宋体"/>
          <w:b w:val="0"/>
          <w:sz w:val="21"/>
        </w:rPr>
        <w:t>### 3.2 策略级聚合</w:t>
      </w:r>
    </w:p>
    <w:p>
      <w:pPr>
        <w:spacing w:line="324" w:lineRule="auto"/>
        <w:ind w:firstLine="420"/>
        <w:jc w:val="both"/>
      </w:pPr>
      <w:r>
        <w:rPr>
          <w:rFonts w:ascii="宋体" w:hAnsi="宋体" w:eastAsia="宋体"/>
          <w:b w:val="0"/>
          <w:sz w:val="21"/>
        </w:rPr>
        <w:t>按 `policy_table9` 聚合后，共有 68 个策略，其中 27 个策略至少有两枚电芯。正文比较只纳入这些重复策略组，并同时报告组内样本数、平均寿命和寿命范围。其平均寿命在 546.5–2083.0 cycle 之间变化，说明在本数据集内可对具有重复支撑的已观测策略作描述性整体比较。典型长、短寿命组可用于说明差异，但不构成对倍率或切换点的因果判定。</w:t>
      </w:r>
    </w:p>
    <w:p>
      <w:pPr>
        <w:spacing w:line="324" w:lineRule="auto"/>
        <w:ind w:firstLine="420"/>
        <w:jc w:val="both"/>
      </w:pPr>
      <w:r>
        <w:rPr>
          <w:rFonts w:ascii="宋体" w:hAnsi="宋体" w:eastAsia="宋体"/>
          <w:b w:val="0"/>
          <w:sz w:val="21"/>
        </w:rPr>
        <w:t>19 对 Train–Primary 重复策略的 Pearson 系数为 0.9029；Spearman 系数为 0.5514，95% 区间为 [−0.0231，0.8791]，平均绝对差为 119.50 cycle。因此，跨分区存在一定线性一致性迹象，但不支持稳定的策略全排序。Q1 仅保留三项结论：寿命具有明显异质性；有重复电芯支撑的策略可作本数据集内观察性比较；重复策略不支持稳定排序。不得声称某充电参数导致更长寿命、单枚电芯代表策略总体或策略排序可以迁移。</w:t>
      </w:r>
    </w:p>
    <w:p>
      <w:pPr>
        <w:pStyle w:val="2"/>
        <w:spacing w:before="200" w:after="100"/>
      </w:pPr>
      <w:r>
        <w:rPr>
          <w:rFonts w:ascii="黑体" w:hAnsi="黑体" w:eastAsia="黑体"/>
          <w:b/>
          <w:sz w:val="28"/>
        </w:rPr>
        <w:t>4 Q2：策略—寿命的条件关联</w:t>
      </w:r>
    </w:p>
    <w:p>
      <w:pPr>
        <w:jc w:val="center"/>
      </w:pPr>
      <w:r>
        <w:drawing>
          <wp:inline xmlns:a="http://schemas.openxmlformats.org/drawingml/2006/main" xmlns:pic="http://schemas.openxmlformats.org/drawingml/2006/picture">
            <wp:extent cx="4953000" cy="4422321"/>
            <wp:docPr id="3" name="Picture 3" descr="图 3  主效应 Ridge 与二阶交互 Ridge 的分组折外预测比较" title="图 3  主效应 Ridge 与二阶交互 Ridge 的分组折外预测比较"/>
            <wp:cNvGraphicFramePr>
              <a:graphicFrameLocks noChangeAspect="1"/>
            </wp:cNvGraphicFramePr>
            <a:graphic>
              <a:graphicData uri="http://schemas.openxmlformats.org/drawingml/2006/picture">
                <pic:pic>
                  <pic:nvPicPr>
                    <pic:cNvPr id="0" name="m1_m2_oof_comparison.png"/>
                    <pic:cNvPicPr/>
                  </pic:nvPicPr>
                  <pic:blipFill>
                    <a:blip r:embed="rId33"/>
                    <a:stretch>
                      <a:fillRect/>
                    </a:stretch>
                  </pic:blipFill>
                  <pic:spPr>
                    <a:xfrm>
                      <a:off x="0" y="0"/>
                      <a:ext cx="4953000" cy="4422321"/>
                    </a:xfrm>
                    <a:prstGeom prst="rect"/>
                  </pic:spPr>
                </pic:pic>
              </a:graphicData>
            </a:graphic>
          </wp:inline>
        </w:drawing>
      </w:r>
    </w:p>
    <w:p>
      <w:pPr>
        <w:jc w:val="center"/>
      </w:pPr>
      <w:r>
        <w:rPr>
          <w:rFonts w:ascii="宋体" w:hAnsi="宋体" w:eastAsia="宋体"/>
          <w:b w:val="0"/>
          <w:sz w:val="18"/>
        </w:rPr>
        <w:t>图 3  主效应 Ridge 与二阶交互 Ridge 的分组折外预测比较</w:t>
      </w:r>
    </w:p>
    <w:p>
      <w:pPr>
        <w:jc w:val="center"/>
      </w:pPr>
      <w:r>
        <w:drawing>
          <wp:inline xmlns:a="http://schemas.openxmlformats.org/drawingml/2006/main" xmlns:pic="http://schemas.openxmlformats.org/drawingml/2006/picture">
            <wp:extent cx="4953000" cy="1855890"/>
            <wp:docPr id="4" name="Picture 4" descr="图 4  策略组块 bootstrap 下 M2 相对 M1 的误差差异" title="图 4  策略组块 bootstrap 下 M2 相对 M1 的误差差异"/>
            <wp:cNvGraphicFramePr>
              <a:graphicFrameLocks noChangeAspect="1"/>
            </wp:cNvGraphicFramePr>
            <a:graphic>
              <a:graphicData uri="http://schemas.openxmlformats.org/drawingml/2006/picture">
                <pic:pic>
                  <pic:nvPicPr>
                    <pic:cNvPr id="0" name="q2_policy_block_bootstrap.png"/>
                    <pic:cNvPicPr/>
                  </pic:nvPicPr>
                  <pic:blipFill>
                    <a:blip r:embed="rId34"/>
                    <a:stretch>
                      <a:fillRect/>
                    </a:stretch>
                  </pic:blipFill>
                  <pic:spPr>
                    <a:xfrm>
                      <a:off x="0" y="0"/>
                      <a:ext cx="4953000" cy="1855890"/>
                    </a:xfrm>
                    <a:prstGeom prst="rect"/>
                  </pic:spPr>
                </pic:pic>
              </a:graphicData>
            </a:graphic>
          </wp:inline>
        </w:drawing>
      </w:r>
    </w:p>
    <w:p>
      <w:pPr>
        <w:jc w:val="center"/>
      </w:pPr>
      <w:r>
        <w:rPr>
          <w:rFonts w:ascii="宋体" w:hAnsi="宋体" w:eastAsia="宋体"/>
          <w:b w:val="0"/>
          <w:sz w:val="18"/>
        </w:rPr>
        <w:t>图 4  策略组块 bootstrap 下 M2 相对 M1 的误差差异</w:t>
      </w:r>
    </w:p>
    <w:p>
      <w:pPr>
        <w:spacing w:line="324" w:lineRule="auto"/>
        <w:ind w:firstLine="420"/>
        <w:jc w:val="both"/>
      </w:pPr>
      <w:r>
        <w:rPr>
          <w:rFonts w:ascii="宋体" w:hAnsi="宋体" w:eastAsia="宋体"/>
          <w:b w:val="0"/>
          <w:sz w:val="21"/>
        </w:rPr>
        <w:t>令 xᵢ=(C₁ᵢ,qᵢ,C₂ᵢ)，zᵢ=ln(Lᵢ)。M1 为主效应 Ridge：</w:t>
      </w:r>
    </w:p>
    <w:p>
      <w:pPr>
        <w:spacing w:line="324" w:lineRule="auto"/>
        <w:ind w:firstLine="420"/>
        <w:jc w:val="both"/>
      </w:pPr>
      <w:r>
        <w:rPr>
          <w:rFonts w:ascii="宋体" w:hAnsi="宋体" w:eastAsia="宋体"/>
          <w:b w:val="0"/>
          <w:sz w:val="21"/>
        </w:rPr>
        <w:t>ẑᵢ = β₀ + β₁C̃₁ᵢ + β₂q̃ᵢ + β₃C̃₂ᵢ。</w:t>
      </w:r>
    </w:p>
    <w:p>
      <w:pPr>
        <w:spacing w:line="324" w:lineRule="auto"/>
        <w:ind w:firstLine="420"/>
        <w:jc w:val="both"/>
      </w:pPr>
      <w:r>
        <w:rPr>
          <w:rFonts w:ascii="宋体" w:hAnsi="宋体" w:eastAsia="宋体"/>
          <w:b w:val="0"/>
          <w:sz w:val="21"/>
        </w:rPr>
        <w:t>在每个外层 Train 折内完成缺失值填补、标准化与正则化选择，并以 `policy_table9` 分组，避免同一策略同时出现在训练与验证中。M2 在相同规则下增加二阶项与两两交互项，用来检查不同 SOC 阶段倍率组合是否出现额外的条件关联。</w:t>
      </w:r>
    </w:p>
    <w:tbl>
      <w:tblPr>
        <w:tblStyle w:val="13"/>
        <w:tblW w:type="auto" w:w="0"/>
        <w:tblLook w:firstColumn="1" w:firstRow="1" w:lastColumn="0" w:lastRow="0" w:noHBand="0" w:noVBand="1" w:val="04A0"/>
      </w:tblPr>
      <w:tblGrid>
        <w:gridCol w:w="2211"/>
        <w:gridCol w:w="2211"/>
        <w:gridCol w:w="2211"/>
        <w:gridCol w:w="2211"/>
      </w:tblGrid>
      <w:tr>
        <w:trPr>
          <w:tblHeader w:val="true"/>
        </w:trPr>
        <w:tc>
          <w:tcPr>
            <w:tcW w:type="dxa" w:w="2211"/>
          </w:tcPr>
          <w:p>
            <w:pPr>
              <w:spacing w:line="264" w:lineRule="auto"/>
              <w:jc w:val="center"/>
            </w:pPr>
            <w:r>
              <w:rPr>
                <w:rFonts w:ascii="宋体" w:hAnsi="宋体" w:eastAsia="宋体"/>
                <w:b/>
                <w:sz w:val="17"/>
              </w:rPr>
              <w:t>模型</w:t>
            </w:r>
          </w:p>
        </w:tc>
        <w:tc>
          <w:tcPr>
            <w:tcW w:type="dxa" w:w="2211"/>
          </w:tcPr>
          <w:p>
            <w:pPr>
              <w:spacing w:line="264" w:lineRule="auto"/>
              <w:jc w:val="center"/>
            </w:pPr>
            <w:r>
              <w:rPr>
                <w:rFonts w:ascii="宋体" w:hAnsi="宋体" w:eastAsia="宋体"/>
                <w:b/>
                <w:sz w:val="17"/>
              </w:rPr>
              <w:t>Train OOF RMSE_log</w:t>
            </w:r>
          </w:p>
        </w:tc>
        <w:tc>
          <w:tcPr>
            <w:tcW w:type="dxa" w:w="2211"/>
          </w:tcPr>
          <w:p>
            <w:pPr>
              <w:spacing w:line="264" w:lineRule="auto"/>
              <w:jc w:val="center"/>
            </w:pPr>
            <w:r>
              <w:rPr>
                <w:rFonts w:ascii="宋体" w:hAnsi="宋体" w:eastAsia="宋体"/>
                <w:b/>
                <w:sz w:val="17"/>
              </w:rPr>
              <w:t>Train OOF MAE_log</w:t>
            </w:r>
          </w:p>
        </w:tc>
        <w:tc>
          <w:tcPr>
            <w:tcW w:type="dxa" w:w="2211"/>
          </w:tcPr>
          <w:p>
            <w:pPr>
              <w:spacing w:line="264" w:lineRule="auto"/>
              <w:jc w:val="center"/>
            </w:pPr>
            <w:r>
              <w:rPr>
                <w:rFonts w:ascii="宋体" w:hAnsi="宋体" w:eastAsia="宋体"/>
                <w:b/>
                <w:sz w:val="17"/>
              </w:rPr>
              <w:t>论文角色</w:t>
            </w:r>
          </w:p>
        </w:tc>
      </w:tr>
      <w:tr>
        <w:tc>
          <w:tcPr>
            <w:tcW w:type="dxa" w:w="2211"/>
          </w:tcPr>
          <w:p>
            <w:pPr>
              <w:spacing w:line="264" w:lineRule="auto"/>
              <w:jc w:val="left"/>
            </w:pPr>
            <w:r>
              <w:rPr>
                <w:rFonts w:ascii="宋体" w:hAnsi="宋体" w:eastAsia="宋体"/>
                <w:b w:val="0"/>
                <w:sz w:val="17"/>
              </w:rPr>
              <w:t>M1 主效应 Ridge</w:t>
            </w:r>
          </w:p>
        </w:tc>
        <w:tc>
          <w:tcPr>
            <w:tcW w:type="dxa" w:w="2211"/>
          </w:tcPr>
          <w:p>
            <w:pPr>
              <w:spacing w:line="264" w:lineRule="auto"/>
              <w:jc w:val="left"/>
            </w:pPr>
            <w:r>
              <w:rPr>
                <w:rFonts w:ascii="宋体" w:hAnsi="宋体" w:eastAsia="宋体"/>
                <w:b w:val="0"/>
                <w:sz w:val="17"/>
              </w:rPr>
              <w:t>0.37169</w:t>
            </w:r>
          </w:p>
        </w:tc>
        <w:tc>
          <w:tcPr>
            <w:tcW w:type="dxa" w:w="2211"/>
          </w:tcPr>
          <w:p>
            <w:pPr>
              <w:spacing w:line="264" w:lineRule="auto"/>
              <w:jc w:val="left"/>
            </w:pPr>
            <w:r>
              <w:rPr>
                <w:rFonts w:ascii="宋体" w:hAnsi="宋体" w:eastAsia="宋体"/>
                <w:b w:val="0"/>
                <w:sz w:val="17"/>
              </w:rPr>
              <w:t>0.27557</w:t>
            </w:r>
          </w:p>
        </w:tc>
        <w:tc>
          <w:tcPr>
            <w:tcW w:type="dxa" w:w="2211"/>
          </w:tcPr>
          <w:p>
            <w:pPr>
              <w:spacing w:line="264" w:lineRule="auto"/>
              <w:jc w:val="left"/>
            </w:pPr>
            <w:r>
              <w:rPr>
                <w:rFonts w:ascii="宋体" w:hAnsi="宋体" w:eastAsia="宋体"/>
                <w:b w:val="0"/>
                <w:sz w:val="17"/>
              </w:rPr>
              <w:t>正文的保守关联模型</w:t>
            </w:r>
          </w:p>
        </w:tc>
      </w:tr>
      <w:tr>
        <w:tc>
          <w:tcPr>
            <w:tcW w:type="dxa" w:w="2211"/>
          </w:tcPr>
          <w:p>
            <w:pPr>
              <w:spacing w:line="264" w:lineRule="auto"/>
              <w:jc w:val="left"/>
            </w:pPr>
            <w:r>
              <w:rPr>
                <w:rFonts w:ascii="宋体" w:hAnsi="宋体" w:eastAsia="宋体"/>
                <w:b w:val="0"/>
                <w:sz w:val="17"/>
              </w:rPr>
              <w:t>M2 二阶交互 Ridge</w:t>
            </w:r>
          </w:p>
        </w:tc>
        <w:tc>
          <w:tcPr>
            <w:tcW w:type="dxa" w:w="2211"/>
          </w:tcPr>
          <w:p>
            <w:pPr>
              <w:spacing w:line="264" w:lineRule="auto"/>
              <w:jc w:val="left"/>
            </w:pPr>
            <w:r>
              <w:rPr>
                <w:rFonts w:ascii="宋体" w:hAnsi="宋体" w:eastAsia="宋体"/>
                <w:b w:val="0"/>
                <w:sz w:val="17"/>
              </w:rPr>
              <w:t>0.36854</w:t>
            </w:r>
          </w:p>
        </w:tc>
        <w:tc>
          <w:tcPr>
            <w:tcW w:type="dxa" w:w="2211"/>
          </w:tcPr>
          <w:p>
            <w:pPr>
              <w:spacing w:line="264" w:lineRule="auto"/>
              <w:jc w:val="left"/>
            </w:pPr>
            <w:r>
              <w:rPr>
                <w:rFonts w:ascii="宋体" w:hAnsi="宋体" w:eastAsia="宋体"/>
                <w:b w:val="0"/>
                <w:sz w:val="17"/>
              </w:rPr>
              <w:t>0.25102</w:t>
            </w:r>
          </w:p>
        </w:tc>
        <w:tc>
          <w:tcPr>
            <w:tcW w:type="dxa" w:w="2211"/>
          </w:tcPr>
          <w:p>
            <w:pPr>
              <w:spacing w:line="264" w:lineRule="auto"/>
              <w:jc w:val="left"/>
            </w:pPr>
            <w:r>
              <w:rPr>
                <w:rFonts w:ascii="宋体" w:hAnsi="宋体" w:eastAsia="宋体"/>
                <w:b w:val="0"/>
                <w:sz w:val="17"/>
              </w:rPr>
              <w:t>SOC 分段倍率交互的敏感性分析</w:t>
            </w:r>
          </w:p>
        </w:tc>
      </w:tr>
    </w:tbl>
    <w:p>
      <w:pPr>
        <w:spacing w:line="324" w:lineRule="auto"/>
        <w:ind w:firstLine="420"/>
        <w:jc w:val="both"/>
      </w:pPr>
      <w:r>
        <w:rPr>
          <w:rFonts w:ascii="宋体" w:hAnsi="宋体" w:eastAsia="宋体"/>
          <w:b w:val="0"/>
          <w:sz w:val="21"/>
        </w:rPr>
        <w:t>M2 的 MAE_log 点估计较 M1 改善 8.91%，但 2,000 次策略组 bootstrap 下 ΔMAE_log 的 95% 区间为 [−0.07245，0.02620]，ΔRMSE_log 的区间为 [−0.04887，0.04018]，均跨 0；因此不能排除无改善。Secondary 上，M1/M2 的 RMSE_log 分别为 0.547246/0.542798，MAE_log 分别为 0.498071/0.507962，M2 相对 M1 的两个差值区间也均跨 0。故正文以 M1 表示保守、可解释的条件关联，M2 只报告“存在探索性信号但无稳定优胜证据”。</w:t>
      </w:r>
    </w:p>
    <w:p>
      <w:pPr>
        <w:spacing w:line="324" w:lineRule="auto"/>
        <w:ind w:firstLine="420"/>
        <w:jc w:val="both"/>
      </w:pPr>
      <w:r>
        <w:rPr>
          <w:rFonts w:ascii="宋体" w:hAnsi="宋体" w:eastAsia="宋体"/>
          <w:b w:val="0"/>
          <w:sz w:val="21"/>
        </w:rPr>
        <w:t>Q4 的 P3 加性 GAM 仅用于提出 `Q2_provisional` 试验候选：其 Secondary RMSE_log/MAE_log 为 0.677812/0.630770，未获升级，不承担最终寿命排序或新策略推荐。</w:t>
      </w:r>
    </w:p>
    <w:p>
      <w:pPr>
        <w:pStyle w:val="2"/>
        <w:spacing w:before="200" w:after="100"/>
      </w:pPr>
      <w:r>
        <w:rPr>
          <w:rFonts w:ascii="黑体" w:hAnsi="黑体" w:eastAsia="黑体"/>
          <w:b/>
          <w:sz w:val="28"/>
        </w:rPr>
        <w:t>5 Q3：早期运行后的寿命与 SOH 预测</w:t>
      </w:r>
    </w:p>
    <w:p>
      <w:pPr>
        <w:jc w:val="center"/>
      </w:pPr>
      <w:r>
        <w:drawing>
          <wp:inline xmlns:a="http://schemas.openxmlformats.org/drawingml/2006/main" xmlns:pic="http://schemas.openxmlformats.org/drawingml/2006/picture">
            <wp:extent cx="4953000" cy="2141100"/>
            <wp:docPr id="5" name="Picture 5" descr="图 5  Secondary 上冻结模型的实测—预测对比（外部压力测试）" title="图 5  Secondary 上冻结模型的实测—预测对比"/>
            <wp:cNvGraphicFramePr>
              <a:graphicFrameLocks noChangeAspect="1"/>
            </wp:cNvGraphicFramePr>
            <a:graphic>
              <a:graphicData uri="http://schemas.openxmlformats.org/drawingml/2006/picture">
                <pic:pic>
                  <pic:nvPicPr>
                    <pic:cNvPr id="0" name="secondary_final_observed_predicted.png"/>
                    <pic:cNvPicPr/>
                  </pic:nvPicPr>
                  <pic:blipFill>
                    <a:blip r:embed="rId35"/>
                    <a:stretch>
                      <a:fillRect/>
                    </a:stretch>
                  </pic:blipFill>
                  <pic:spPr>
                    <a:xfrm>
                      <a:off x="0" y="0"/>
                      <a:ext cx="4953000" cy="2141100"/>
                    </a:xfrm>
                    <a:prstGeom prst="rect"/>
                  </pic:spPr>
                </pic:pic>
              </a:graphicData>
            </a:graphic>
          </wp:inline>
        </w:drawing>
      </w:r>
    </w:p>
    <w:p>
      <w:pPr>
        <w:jc w:val="center"/>
      </w:pPr>
      <w:r>
        <w:rPr>
          <w:rFonts w:ascii="宋体" w:hAnsi="宋体" w:eastAsia="宋体"/>
          <w:b w:val="0"/>
          <w:sz w:val="18"/>
        </w:rPr>
        <w:t>图 5  Secondary 上冻结模型的实测—预测对比（外部压力测试）</w:t>
      </w:r>
    </w:p>
    <w:p>
      <w:pPr>
        <w:spacing w:line="324" w:lineRule="auto"/>
        <w:ind w:firstLine="420"/>
        <w:jc w:val="both"/>
      </w:pPr>
      <w:r>
        <w:rPr>
          <w:rFonts w:ascii="宋体" w:hAnsi="宋体" w:eastAsia="宋体"/>
          <w:b w:val="0"/>
          <w:sz w:val="21"/>
        </w:rPr>
        <w:t>### 5.1 无泄漏联合预测</w:t>
      </w:r>
    </w:p>
    <w:p>
      <w:pPr>
        <w:spacing w:line="324" w:lineRule="auto"/>
        <w:ind w:firstLine="420"/>
        <w:jc w:val="both"/>
      </w:pPr>
      <w:r>
        <w:rPr>
          <w:rFonts w:ascii="宋体" w:hAnsi="宋体" w:eastAsia="宋体"/>
          <w:b w:val="0"/>
          <w:sz w:val="21"/>
        </w:rPr>
        <w:t>对任意窗口 k，只从 cycle 2 至 k 提取容量、内阻、温度和充电时间的均值、斜率与变化量，并拟合早期特征 Ridge 预测 z=ln(L)。再在训练折内按相对寿命 u=c/L 对齐 `SOH=QDischarge/1.1`，用非增保序回归得到退化模板 G(u)。对验证电芯，真实终止寿命不进入模板拟合；未来 SOH 仅由预测寿命、截至 k 的实际 SOH 和训练折模板校正得到。</w:t>
      </w:r>
    </w:p>
    <w:p>
      <w:pPr>
        <w:spacing w:line="324" w:lineRule="auto"/>
        <w:ind w:firstLine="420"/>
        <w:jc w:val="both"/>
      </w:pPr>
      <w:r>
        <w:rPr>
          <w:rFonts w:ascii="宋体" w:hAnsi="宋体" w:eastAsia="宋体"/>
          <w:b w:val="0"/>
          <w:sz w:val="21"/>
        </w:rPr>
        <w:t>SOĤᵢ(c)=aᵢ(k)+[0.8−aᵢ(k)]·[G(min{c/L̂ᵢ,1})−G(k/L̂ᵢ)]/[0.8−G(k/L̂ᵢ)]。</w:t>
      </w:r>
    </w:p>
    <w:p>
      <w:pPr>
        <w:spacing w:line="324" w:lineRule="auto"/>
        <w:ind w:firstLine="420"/>
        <w:jc w:val="both"/>
      </w:pPr>
      <w:r>
        <w:rPr>
          <w:rFonts w:ascii="宋体" w:hAnsi="宋体" w:eastAsia="宋体"/>
          <w:b w:val="0"/>
          <w:sz w:val="21"/>
        </w:rPr>
        <w:t>寿命在 log 尺度评估，未来 SOH 采用电芯等权 RMSE，避免长寿命电芯因拥有更多点而支配结果。若缺少锚点、分母接近 0 或预测寿命不超过 k，则该电芯仅标记为该窗口失败，不静默插补。</w:t>
      </w:r>
    </w:p>
    <w:p>
      <w:pPr>
        <w:spacing w:line="324" w:lineRule="auto"/>
        <w:ind w:firstLine="420"/>
        <w:jc w:val="both"/>
      </w:pPr>
      <w:r>
        <w:rPr>
          <w:rFonts w:ascii="宋体" w:hAnsi="宋体" w:eastAsia="宋体"/>
          <w:b w:val="0"/>
          <w:sz w:val="21"/>
        </w:rPr>
        <w:t>### 5.2 双窗口与外部压力测试</w:t>
      </w:r>
    </w:p>
    <w:p>
      <w:pPr>
        <w:spacing w:line="324" w:lineRule="auto"/>
        <w:ind w:firstLine="420"/>
        <w:jc w:val="both"/>
      </w:pPr>
      <w:r>
        <w:rPr>
          <w:rFonts w:ascii="宋体" w:hAnsi="宋体" w:eastAsia="宋体"/>
          <w:b w:val="0"/>
          <w:sz w:val="21"/>
        </w:rPr>
        <w:t>冻结前，M3R-k=5（在策略和早期特征上加入经六字段审计的低维原始电压特征）被记录为开发期原始曲线增强 challenger；M2-k=100 被预先指定为较充分校正窗口。二者的角色不因 Secondary 的一次观察而反向重选。Secondary 中，40 枚电芯均可评价，模板失败为 0，表明无泄漏计算链条可运行；但模型优胜并未得到支持。</w:t>
      </w:r>
    </w:p>
    <w:tbl>
      <w:tblPr>
        <w:tblStyle w:val="13"/>
        <w:tblW w:type="auto" w:w="0"/>
        <w:tblLook w:firstColumn="1" w:firstRow="1" w:lastColumn="0" w:lastRow="0" w:noHBand="0" w:noVBand="1" w:val="04A0"/>
      </w:tblPr>
      <w:tblGrid>
        <w:gridCol w:w="1769"/>
        <w:gridCol w:w="1769"/>
        <w:gridCol w:w="1769"/>
        <w:gridCol w:w="1769"/>
        <w:gridCol w:w="1769"/>
      </w:tblGrid>
      <w:tr>
        <w:trPr>
          <w:tblHeader w:val="true"/>
        </w:trPr>
        <w:tc>
          <w:tcPr>
            <w:tcW w:type="dxa" w:w="1769"/>
          </w:tcPr>
          <w:p>
            <w:pPr>
              <w:spacing w:line="264" w:lineRule="auto"/>
              <w:jc w:val="center"/>
            </w:pPr>
            <w:r>
              <w:rPr>
                <w:rFonts w:ascii="宋体" w:hAnsi="宋体" w:eastAsia="宋体"/>
                <w:b/>
                <w:sz w:val="17"/>
              </w:rPr>
              <w:t>冻结模型</w:t>
            </w:r>
          </w:p>
        </w:tc>
        <w:tc>
          <w:tcPr>
            <w:tcW w:type="dxa" w:w="1769"/>
          </w:tcPr>
          <w:p>
            <w:pPr>
              <w:spacing w:line="264" w:lineRule="auto"/>
              <w:jc w:val="center"/>
            </w:pPr>
            <w:r>
              <w:rPr>
                <w:rFonts w:ascii="宋体" w:hAnsi="宋体" w:eastAsia="宋体"/>
                <w:b/>
                <w:sz w:val="17"/>
              </w:rPr>
              <w:t>窗口</w:t>
            </w:r>
          </w:p>
        </w:tc>
        <w:tc>
          <w:tcPr>
            <w:tcW w:type="dxa" w:w="1769"/>
          </w:tcPr>
          <w:p>
            <w:pPr>
              <w:spacing w:line="264" w:lineRule="auto"/>
              <w:jc w:val="center"/>
            </w:pPr>
            <w:r>
              <w:rPr>
                <w:rFonts w:ascii="宋体" w:hAnsi="宋体" w:eastAsia="宋体"/>
                <w:b/>
                <w:sz w:val="17"/>
              </w:rPr>
              <w:t>Secondary RMSE_log</w:t>
            </w:r>
          </w:p>
        </w:tc>
        <w:tc>
          <w:tcPr>
            <w:tcW w:type="dxa" w:w="1769"/>
          </w:tcPr>
          <w:p>
            <w:pPr>
              <w:spacing w:line="264" w:lineRule="auto"/>
              <w:jc w:val="center"/>
            </w:pPr>
            <w:r>
              <w:rPr>
                <w:rFonts w:ascii="宋体" w:hAnsi="宋体" w:eastAsia="宋体"/>
                <w:b/>
                <w:sz w:val="17"/>
              </w:rPr>
              <w:t>Secondary MAE_log</w:t>
            </w:r>
          </w:p>
        </w:tc>
        <w:tc>
          <w:tcPr>
            <w:tcW w:type="dxa" w:w="1769"/>
          </w:tcPr>
          <w:p>
            <w:pPr>
              <w:spacing w:line="264" w:lineRule="auto"/>
              <w:jc w:val="center"/>
            </w:pPr>
            <w:r>
              <w:rPr>
                <w:rFonts w:ascii="宋体" w:hAnsi="宋体" w:eastAsia="宋体"/>
                <w:b/>
                <w:sz w:val="17"/>
              </w:rPr>
              <w:t>未来 SOH RMSE</w:t>
            </w:r>
          </w:p>
        </w:tc>
      </w:tr>
      <w:tr>
        <w:tc>
          <w:tcPr>
            <w:tcW w:type="dxa" w:w="1769"/>
          </w:tcPr>
          <w:p>
            <w:pPr>
              <w:spacing w:line="264" w:lineRule="auto"/>
              <w:jc w:val="left"/>
            </w:pPr>
            <w:r>
              <w:rPr>
                <w:rFonts w:ascii="宋体" w:hAnsi="宋体" w:eastAsia="宋体"/>
                <w:b w:val="0"/>
                <w:sz w:val="17"/>
              </w:rPr>
              <w:t>M2 早期特征 Ridge</w:t>
            </w:r>
          </w:p>
        </w:tc>
        <w:tc>
          <w:tcPr>
            <w:tcW w:type="dxa" w:w="1769"/>
          </w:tcPr>
          <w:p>
            <w:pPr>
              <w:spacing w:line="264" w:lineRule="auto"/>
              <w:jc w:val="left"/>
            </w:pPr>
            <w:r>
              <w:rPr>
                <w:rFonts w:ascii="宋体" w:hAnsi="宋体" w:eastAsia="宋体"/>
                <w:b w:val="0"/>
                <w:sz w:val="17"/>
              </w:rPr>
              <w:t>k=5</w:t>
            </w:r>
          </w:p>
        </w:tc>
        <w:tc>
          <w:tcPr>
            <w:tcW w:type="dxa" w:w="1769"/>
          </w:tcPr>
          <w:p>
            <w:pPr>
              <w:spacing w:line="264" w:lineRule="auto"/>
              <w:jc w:val="left"/>
            </w:pPr>
            <w:r>
              <w:rPr>
                <w:rFonts w:ascii="宋体" w:hAnsi="宋体" w:eastAsia="宋体"/>
                <w:b w:val="0"/>
                <w:sz w:val="17"/>
              </w:rPr>
              <w:t>0.419302</w:t>
            </w:r>
          </w:p>
        </w:tc>
        <w:tc>
          <w:tcPr>
            <w:tcW w:type="dxa" w:w="1769"/>
          </w:tcPr>
          <w:p>
            <w:pPr>
              <w:spacing w:line="264" w:lineRule="auto"/>
              <w:jc w:val="left"/>
            </w:pPr>
            <w:r>
              <w:rPr>
                <w:rFonts w:ascii="宋体" w:hAnsi="宋体" w:eastAsia="宋体"/>
                <w:b w:val="0"/>
                <w:sz w:val="17"/>
              </w:rPr>
              <w:t>0.360166</w:t>
            </w:r>
          </w:p>
        </w:tc>
        <w:tc>
          <w:tcPr>
            <w:tcW w:type="dxa" w:w="1769"/>
          </w:tcPr>
          <w:p>
            <w:pPr>
              <w:spacing w:line="264" w:lineRule="auto"/>
              <w:jc w:val="left"/>
            </w:pPr>
            <w:r>
              <w:rPr>
                <w:rFonts w:ascii="宋体" w:hAnsi="宋体" w:eastAsia="宋体"/>
                <w:b w:val="0"/>
                <w:sz w:val="17"/>
              </w:rPr>
              <w:t>0.062007</w:t>
            </w:r>
          </w:p>
        </w:tc>
      </w:tr>
      <w:tr>
        <w:tc>
          <w:tcPr>
            <w:tcW w:type="dxa" w:w="1769"/>
          </w:tcPr>
          <w:p>
            <w:pPr>
              <w:spacing w:line="264" w:lineRule="auto"/>
              <w:jc w:val="left"/>
            </w:pPr>
            <w:r>
              <w:rPr>
                <w:rFonts w:ascii="宋体" w:hAnsi="宋体" w:eastAsia="宋体"/>
                <w:b w:val="0"/>
                <w:sz w:val="17"/>
              </w:rPr>
              <w:t>M3R 加 RAW 电压 Ridge</w:t>
            </w:r>
          </w:p>
        </w:tc>
        <w:tc>
          <w:tcPr>
            <w:tcW w:type="dxa" w:w="1769"/>
          </w:tcPr>
          <w:p>
            <w:pPr>
              <w:spacing w:line="264" w:lineRule="auto"/>
              <w:jc w:val="left"/>
            </w:pPr>
            <w:r>
              <w:rPr>
                <w:rFonts w:ascii="宋体" w:hAnsi="宋体" w:eastAsia="宋体"/>
                <w:b w:val="0"/>
                <w:sz w:val="17"/>
              </w:rPr>
              <w:t>k=5</w:t>
            </w:r>
          </w:p>
        </w:tc>
        <w:tc>
          <w:tcPr>
            <w:tcW w:type="dxa" w:w="1769"/>
          </w:tcPr>
          <w:p>
            <w:pPr>
              <w:spacing w:line="264" w:lineRule="auto"/>
              <w:jc w:val="left"/>
            </w:pPr>
            <w:r>
              <w:rPr>
                <w:rFonts w:ascii="宋体" w:hAnsi="宋体" w:eastAsia="宋体"/>
                <w:b w:val="0"/>
                <w:sz w:val="17"/>
              </w:rPr>
              <w:t>0.492453</w:t>
            </w:r>
          </w:p>
        </w:tc>
        <w:tc>
          <w:tcPr>
            <w:tcW w:type="dxa" w:w="1769"/>
          </w:tcPr>
          <w:p>
            <w:pPr>
              <w:spacing w:line="264" w:lineRule="auto"/>
              <w:jc w:val="left"/>
            </w:pPr>
            <w:r>
              <w:rPr>
                <w:rFonts w:ascii="宋体" w:hAnsi="宋体" w:eastAsia="宋体"/>
                <w:b w:val="0"/>
                <w:sz w:val="17"/>
              </w:rPr>
              <w:t>0.453799</w:t>
            </w:r>
          </w:p>
        </w:tc>
        <w:tc>
          <w:tcPr>
            <w:tcW w:type="dxa" w:w="1769"/>
          </w:tcPr>
          <w:p>
            <w:pPr>
              <w:spacing w:line="264" w:lineRule="auto"/>
              <w:jc w:val="left"/>
            </w:pPr>
            <w:r>
              <w:rPr>
                <w:rFonts w:ascii="宋体" w:hAnsi="宋体" w:eastAsia="宋体"/>
                <w:b w:val="0"/>
                <w:sz w:val="17"/>
              </w:rPr>
              <w:t>0.072023</w:t>
            </w:r>
          </w:p>
        </w:tc>
      </w:tr>
      <w:tr>
        <w:tc>
          <w:tcPr>
            <w:tcW w:type="dxa" w:w="1769"/>
          </w:tcPr>
          <w:p>
            <w:pPr>
              <w:spacing w:line="264" w:lineRule="auto"/>
              <w:jc w:val="left"/>
            </w:pPr>
            <w:r>
              <w:rPr>
                <w:rFonts w:ascii="宋体" w:hAnsi="宋体" w:eastAsia="宋体"/>
                <w:b w:val="0"/>
                <w:sz w:val="17"/>
              </w:rPr>
              <w:t>M2 早期特征 Ridge</w:t>
            </w:r>
          </w:p>
        </w:tc>
        <w:tc>
          <w:tcPr>
            <w:tcW w:type="dxa" w:w="1769"/>
          </w:tcPr>
          <w:p>
            <w:pPr>
              <w:spacing w:line="264" w:lineRule="auto"/>
              <w:jc w:val="left"/>
            </w:pPr>
            <w:r>
              <w:rPr>
                <w:rFonts w:ascii="宋体" w:hAnsi="宋体" w:eastAsia="宋体"/>
                <w:b w:val="0"/>
                <w:sz w:val="17"/>
              </w:rPr>
              <w:t>k=100</w:t>
            </w:r>
          </w:p>
        </w:tc>
        <w:tc>
          <w:tcPr>
            <w:tcW w:type="dxa" w:w="1769"/>
          </w:tcPr>
          <w:p>
            <w:pPr>
              <w:spacing w:line="264" w:lineRule="auto"/>
              <w:jc w:val="left"/>
            </w:pPr>
            <w:r>
              <w:rPr>
                <w:rFonts w:ascii="宋体" w:hAnsi="宋体" w:eastAsia="宋体"/>
                <w:b w:val="0"/>
                <w:sz w:val="17"/>
              </w:rPr>
              <w:t>0.469504</w:t>
            </w:r>
          </w:p>
        </w:tc>
        <w:tc>
          <w:tcPr>
            <w:tcW w:type="dxa" w:w="1769"/>
          </w:tcPr>
          <w:p>
            <w:pPr>
              <w:spacing w:line="264" w:lineRule="auto"/>
              <w:jc w:val="left"/>
            </w:pPr>
            <w:r>
              <w:rPr>
                <w:rFonts w:ascii="宋体" w:hAnsi="宋体" w:eastAsia="宋体"/>
                <w:b w:val="0"/>
                <w:sz w:val="17"/>
              </w:rPr>
              <w:t>0.399460</w:t>
            </w:r>
          </w:p>
        </w:tc>
        <w:tc>
          <w:tcPr>
            <w:tcW w:type="dxa" w:w="1769"/>
          </w:tcPr>
          <w:p>
            <w:pPr>
              <w:spacing w:line="264" w:lineRule="auto"/>
              <w:jc w:val="left"/>
            </w:pPr>
            <w:r>
              <w:rPr>
                <w:rFonts w:ascii="宋体" w:hAnsi="宋体" w:eastAsia="宋体"/>
                <w:b w:val="0"/>
                <w:sz w:val="17"/>
              </w:rPr>
              <w:t>0.069084</w:t>
            </w:r>
          </w:p>
        </w:tc>
      </w:tr>
    </w:tbl>
    <w:p>
      <w:pPr>
        <w:spacing w:line="324" w:lineRule="auto"/>
        <w:ind w:firstLine="420"/>
        <w:jc w:val="both"/>
      </w:pPr>
      <w:r>
        <w:rPr>
          <w:rFonts w:ascii="宋体" w:hAnsi="宋体" w:eastAsia="宋体"/>
          <w:b w:val="0"/>
          <w:sz w:val="21"/>
        </w:rPr>
        <w:t>M3R-k=5 相比 M2-k=5 的 ΔSOH_RMSE 为 0.009872，95% 区间为 [0.002531，0.017078]；其 ΔRMSE_log 为 0.071037，区间为 [0.005447，0.140498]。这表明其开发期 SOH 改善未在 Secondary 复现。由此，k=5 只作为最早的筛查记录，用于风险预警或候选初筛；M3R 只保留为开发期探索 challenger，不能作为具有外部优胜证据的早筛寿命模型。k=100 是预先冻结的较充分校正窗口，本文仅报告其外部表现，不把它称为 Secondary 证明的更优窗口。Q3 可信度为“需谨慎”。</w:t>
      </w:r>
    </w:p>
    <w:p>
      <w:pPr>
        <w:pStyle w:val="2"/>
        <w:spacing w:before="200" w:after="100"/>
      </w:pPr>
      <w:r>
        <w:rPr>
          <w:rFonts w:ascii="黑体" w:hAnsi="黑体" w:eastAsia="黑体"/>
          <w:b/>
          <w:sz w:val="28"/>
        </w:rPr>
        <w:t>6 Q4：候选策略筛选与实验验证框架</w:t>
      </w:r>
    </w:p>
    <w:p>
      <w:pPr>
        <w:jc w:val="center"/>
      </w:pPr>
      <w:r>
        <w:drawing>
          <wp:inline xmlns:a="http://schemas.openxmlformats.org/drawingml/2006/main" xmlns:pic="http://schemas.openxmlformats.org/drawingml/2006/picture">
            <wp:extent cx="4953000" cy="1858243"/>
            <wp:docPr id="6" name="Picture 6" descr="图 6  Train-only 双空间支持域候选筛选流程" title="图 6  Train-only 双空间支持域候选筛选流程"/>
            <wp:cNvGraphicFramePr>
              <a:graphicFrameLocks noChangeAspect="1"/>
            </wp:cNvGraphicFramePr>
            <a:graphic>
              <a:graphicData uri="http://schemas.openxmlformats.org/drawingml/2006/picture">
                <pic:pic>
                  <pic:nvPicPr>
                    <pic:cNvPr id="0" name="q4_train_only_candidate_flow.png"/>
                    <pic:cNvPicPr/>
                  </pic:nvPicPr>
                  <pic:blipFill>
                    <a:blip r:embed="rId36"/>
                    <a:stretch>
                      <a:fillRect/>
                    </a:stretch>
                  </pic:blipFill>
                  <pic:spPr>
                    <a:xfrm>
                      <a:off x="0" y="0"/>
                      <a:ext cx="4953000" cy="1858243"/>
                    </a:xfrm>
                    <a:prstGeom prst="rect"/>
                  </pic:spPr>
                </pic:pic>
              </a:graphicData>
            </a:graphic>
          </wp:inline>
        </w:drawing>
      </w:r>
    </w:p>
    <w:p>
      <w:pPr>
        <w:jc w:val="center"/>
      </w:pPr>
      <w:r>
        <w:rPr>
          <w:rFonts w:ascii="宋体" w:hAnsi="宋体" w:eastAsia="宋体"/>
          <w:b w:val="0"/>
          <w:sz w:val="18"/>
        </w:rPr>
        <w:t>图 6  Train-only 双空间支持域候选筛选流程</w:t>
      </w:r>
    </w:p>
    <w:p>
      <w:pPr>
        <w:jc w:val="center"/>
      </w:pPr>
      <w:r>
        <w:drawing>
          <wp:inline xmlns:a="http://schemas.openxmlformats.org/drawingml/2006/main" xmlns:pic="http://schemas.openxmlformats.org/drawingml/2006/picture">
            <wp:extent cx="4953000" cy="3177767"/>
            <wp:docPr id="7" name="Picture 7" descr="图 7  三类候选策略的 k=100 pilot 排程（待验证）" title="图 7  三类候选策略的 k=100 pilot 排程"/>
            <wp:cNvGraphicFramePr>
              <a:graphicFrameLocks noChangeAspect="1"/>
            </wp:cNvGraphicFramePr>
            <a:graphic>
              <a:graphicData uri="http://schemas.openxmlformats.org/drawingml/2006/picture">
                <pic:pic>
                  <pic:nvPicPr>
                    <pic:cNvPr id="0" name="q4_pilot_representatives.png"/>
                    <pic:cNvPicPr/>
                  </pic:nvPicPr>
                  <pic:blipFill>
                    <a:blip r:embed="rId37"/>
                    <a:stretch>
                      <a:fillRect/>
                    </a:stretch>
                  </pic:blipFill>
                  <pic:spPr>
                    <a:xfrm>
                      <a:off x="0" y="0"/>
                      <a:ext cx="4953000" cy="3177767"/>
                    </a:xfrm>
                    <a:prstGeom prst="rect"/>
                  </pic:spPr>
                </pic:pic>
              </a:graphicData>
            </a:graphic>
          </wp:inline>
        </w:drawing>
      </w:r>
    </w:p>
    <w:p>
      <w:pPr>
        <w:jc w:val="center"/>
      </w:pPr>
      <w:r>
        <w:rPr>
          <w:rFonts w:ascii="宋体" w:hAnsi="宋体" w:eastAsia="宋体"/>
          <w:b w:val="0"/>
          <w:sz w:val="18"/>
        </w:rPr>
        <w:t>图 7  三类候选策略的 k=100 pilot 排程（待验证）</w:t>
      </w:r>
    </w:p>
    <w:p>
      <w:pPr>
        <w:spacing w:line="324" w:lineRule="auto"/>
        <w:ind w:firstLine="420"/>
        <w:jc w:val="both"/>
      </w:pPr>
      <w:r>
        <w:rPr>
          <w:rFonts w:ascii="宋体" w:hAnsi="宋体" w:eastAsia="宋体"/>
          <w:b w:val="0"/>
          <w:sz w:val="21"/>
        </w:rPr>
        <w:t>新策略没有真实早期运行数据时，Q3 不能直接使用。因此本问不输出“最优策略”，而建立受支持域约束的候选筛选—真实确认闭环。理论 0–80% 恒流时间为：</w:t>
      </w:r>
    </w:p>
    <w:p>
      <w:pPr>
        <w:spacing w:line="324" w:lineRule="auto"/>
        <w:ind w:firstLine="420"/>
        <w:jc w:val="both"/>
      </w:pPr>
      <w:r>
        <w:rPr>
          <w:rFonts w:ascii="宋体" w:hAnsi="宋体" w:eastAsia="宋体"/>
          <w:b w:val="0"/>
          <w:sz w:val="21"/>
        </w:rPr>
        <w:t>τ₀–₈₀(x)=60[q/C₁+(0.8−q)/C₂] min。</w:t>
      </w:r>
    </w:p>
    <w:p>
      <w:pPr>
        <w:spacing w:line="324" w:lineRule="auto"/>
        <w:ind w:firstLine="420"/>
        <w:jc w:val="both"/>
      </w:pPr>
      <w:r>
        <w:rPr>
          <w:rFonts w:ascii="宋体" w:hAnsi="宋体" w:eastAsia="宋体"/>
          <w:b w:val="0"/>
          <w:sz w:val="21"/>
        </w:rPr>
        <w:t>它与记录字段 `chargetime` 的单位同为 min，但含义不同，正文中不互换。以原始参数空间和 SOC 分段派生量空间的第 5 近邻距离共同定义候选域：d_raw≤1.2182、d_soc≤2.8286，且在 1,000 次 Train 条码 bootstrap 中支持率 π_supp≥0.800。3,653 个可行离散格点中，1,775 个通过全部条件；它们仅为 `Q2_provisional`，表示位于训练设计邻域并具有稳定筛选结果，不表示有效性、寿命水平或安全性。</w:t>
      </w:r>
    </w:p>
    <w:p>
      <w:pPr>
        <w:spacing w:line="324" w:lineRule="auto"/>
        <w:ind w:firstLine="420"/>
        <w:jc w:val="both"/>
      </w:pPr>
      <w:r>
        <w:rPr>
          <w:rFonts w:ascii="宋体" w:hAnsi="宋体" w:eastAsia="宋体"/>
          <w:b w:val="0"/>
          <w:sz w:val="21"/>
        </w:rPr>
        <w:t>候选必须依次经历：每点不少于 3 枚物理电芯、k=5 早筛记录、k=100 的冻结 Q3 评价，才可标记为 `Q3_confirmed` 并进入正式 Pareto。为覆盖时间—预测寿命权衡，可安排以下三个待验证代表点；P3 预测值仅用于排程覆盖，不是寿命排序或推荐依据。</w:t>
      </w:r>
    </w:p>
    <w:tbl>
      <w:tblPr>
        <w:tblStyle w:val="13"/>
        <w:tblW w:type="auto" w:w="0"/>
        <w:tblLook w:firstColumn="1" w:firstRow="1" w:lastColumn="0" w:lastRow="0" w:noHBand="0" w:noVBand="1" w:val="04A0"/>
      </w:tblPr>
      <w:tblGrid>
        <w:gridCol w:w="1263"/>
        <w:gridCol w:w="1263"/>
        <w:gridCol w:w="1263"/>
        <w:gridCol w:w="1263"/>
        <w:gridCol w:w="1263"/>
        <w:gridCol w:w="1263"/>
        <w:gridCol w:w="1263"/>
      </w:tblGrid>
      <w:tr>
        <w:trPr>
          <w:tblHeader w:val="true"/>
        </w:trPr>
        <w:tc>
          <w:tcPr>
            <w:tcW w:type="dxa" w:w="1263"/>
          </w:tcPr>
          <w:p>
            <w:pPr>
              <w:spacing w:line="264" w:lineRule="auto"/>
              <w:jc w:val="center"/>
            </w:pPr>
            <w:r>
              <w:rPr>
                <w:rFonts w:ascii="宋体" w:hAnsi="宋体" w:eastAsia="宋体"/>
                <w:b/>
                <w:sz w:val="17"/>
              </w:rPr>
              <w:t>角色</w:t>
            </w:r>
          </w:p>
        </w:tc>
        <w:tc>
          <w:tcPr>
            <w:tcW w:type="dxa" w:w="1263"/>
          </w:tcPr>
          <w:p>
            <w:pPr>
              <w:spacing w:line="264" w:lineRule="auto"/>
              <w:jc w:val="center"/>
            </w:pPr>
            <w:r>
              <w:rPr>
                <w:rFonts w:ascii="宋体" w:hAnsi="宋体" w:eastAsia="宋体"/>
                <w:b/>
                <w:sz w:val="17"/>
              </w:rPr>
              <w:t>C₁</w:t>
            </w:r>
          </w:p>
        </w:tc>
        <w:tc>
          <w:tcPr>
            <w:tcW w:type="dxa" w:w="1263"/>
          </w:tcPr>
          <w:p>
            <w:pPr>
              <w:spacing w:line="264" w:lineRule="auto"/>
              <w:jc w:val="center"/>
            </w:pPr>
            <w:r>
              <w:rPr>
                <w:rFonts w:ascii="宋体" w:hAnsi="宋体" w:eastAsia="宋体"/>
                <w:b/>
                <w:sz w:val="17"/>
              </w:rPr>
              <w:t>q</w:t>
            </w:r>
          </w:p>
        </w:tc>
        <w:tc>
          <w:tcPr>
            <w:tcW w:type="dxa" w:w="1263"/>
          </w:tcPr>
          <w:p>
            <w:pPr>
              <w:spacing w:line="264" w:lineRule="auto"/>
              <w:jc w:val="center"/>
            </w:pPr>
            <w:r>
              <w:rPr>
                <w:rFonts w:ascii="宋体" w:hAnsi="宋体" w:eastAsia="宋体"/>
                <w:b/>
                <w:sz w:val="17"/>
              </w:rPr>
              <w:t>C₂</w:t>
            </w:r>
          </w:p>
        </w:tc>
        <w:tc>
          <w:tcPr>
            <w:tcW w:type="dxa" w:w="1263"/>
          </w:tcPr>
          <w:p>
            <w:pPr>
              <w:spacing w:line="264" w:lineRule="auto"/>
              <w:jc w:val="center"/>
            </w:pPr>
            <w:r>
              <w:rPr>
                <w:rFonts w:ascii="宋体" w:hAnsi="宋体" w:eastAsia="宋体"/>
                <w:b/>
                <w:sz w:val="17"/>
              </w:rPr>
              <w:t>τ₀–₈₀ (min)</w:t>
            </w:r>
          </w:p>
        </w:tc>
        <w:tc>
          <w:tcPr>
            <w:tcW w:type="dxa" w:w="1263"/>
          </w:tcPr>
          <w:p>
            <w:pPr>
              <w:spacing w:line="264" w:lineRule="auto"/>
              <w:jc w:val="center"/>
            </w:pPr>
            <w:r>
              <w:rPr>
                <w:rFonts w:ascii="宋体" w:hAnsi="宋体" w:eastAsia="宋体"/>
                <w:b/>
                <w:sz w:val="17"/>
              </w:rPr>
              <w:t>P3 排程预测 (cycle)</w:t>
            </w:r>
          </w:p>
        </w:tc>
        <w:tc>
          <w:tcPr>
            <w:tcW w:type="dxa" w:w="1263"/>
          </w:tcPr>
          <w:p>
            <w:pPr>
              <w:spacing w:line="264" w:lineRule="auto"/>
              <w:jc w:val="center"/>
            </w:pPr>
            <w:r>
              <w:rPr>
                <w:rFonts w:ascii="宋体" w:hAnsi="宋体" w:eastAsia="宋体"/>
                <w:b/>
                <w:sz w:val="17"/>
              </w:rPr>
              <w:t>支持率</w:t>
            </w:r>
          </w:p>
        </w:tc>
      </w:tr>
      <w:tr>
        <w:tc>
          <w:tcPr>
            <w:tcW w:type="dxa" w:w="1263"/>
          </w:tcPr>
          <w:p>
            <w:pPr>
              <w:spacing w:line="264" w:lineRule="auto"/>
              <w:jc w:val="left"/>
            </w:pPr>
            <w:r>
              <w:rPr>
                <w:rFonts w:ascii="宋体" w:hAnsi="宋体" w:eastAsia="宋体"/>
                <w:b w:val="0"/>
                <w:sz w:val="17"/>
              </w:rPr>
              <w:t>快速端</w:t>
            </w:r>
          </w:p>
        </w:tc>
        <w:tc>
          <w:tcPr>
            <w:tcW w:type="dxa" w:w="1263"/>
          </w:tcPr>
          <w:p>
            <w:pPr>
              <w:spacing w:line="264" w:lineRule="auto"/>
              <w:jc w:val="left"/>
            </w:pPr>
            <w:r>
              <w:rPr>
                <w:rFonts w:ascii="宋体" w:hAnsi="宋体" w:eastAsia="宋体"/>
                <w:b w:val="0"/>
                <w:sz w:val="17"/>
              </w:rPr>
              <w:t>6.00</w:t>
            </w:r>
          </w:p>
        </w:tc>
        <w:tc>
          <w:tcPr>
            <w:tcW w:type="dxa" w:w="1263"/>
          </w:tcPr>
          <w:p>
            <w:pPr>
              <w:spacing w:line="264" w:lineRule="auto"/>
              <w:jc w:val="left"/>
            </w:pPr>
            <w:r>
              <w:rPr>
                <w:rFonts w:ascii="宋体" w:hAnsi="宋体" w:eastAsia="宋体"/>
                <w:b w:val="0"/>
                <w:sz w:val="17"/>
              </w:rPr>
              <w:t>65%</w:t>
            </w:r>
          </w:p>
        </w:tc>
        <w:tc>
          <w:tcPr>
            <w:tcW w:type="dxa" w:w="1263"/>
          </w:tcPr>
          <w:p>
            <w:pPr>
              <w:spacing w:line="264" w:lineRule="auto"/>
              <w:jc w:val="left"/>
            </w:pPr>
            <w:r>
              <w:rPr>
                <w:rFonts w:ascii="宋体" w:hAnsi="宋体" w:eastAsia="宋体"/>
                <w:b w:val="0"/>
                <w:sz w:val="17"/>
              </w:rPr>
              <w:t>4.50</w:t>
            </w:r>
          </w:p>
        </w:tc>
        <w:tc>
          <w:tcPr>
            <w:tcW w:type="dxa" w:w="1263"/>
          </w:tcPr>
          <w:p>
            <w:pPr>
              <w:spacing w:line="264" w:lineRule="auto"/>
              <w:jc w:val="left"/>
            </w:pPr>
            <w:r>
              <w:rPr>
                <w:rFonts w:ascii="宋体" w:hAnsi="宋体" w:eastAsia="宋体"/>
                <w:b w:val="0"/>
                <w:sz w:val="17"/>
              </w:rPr>
              <w:t>8.500</w:t>
            </w:r>
          </w:p>
        </w:tc>
        <w:tc>
          <w:tcPr>
            <w:tcW w:type="dxa" w:w="1263"/>
          </w:tcPr>
          <w:p>
            <w:pPr>
              <w:spacing w:line="264" w:lineRule="auto"/>
              <w:jc w:val="left"/>
            </w:pPr>
            <w:r>
              <w:rPr>
                <w:rFonts w:ascii="宋体" w:hAnsi="宋体" w:eastAsia="宋体"/>
                <w:b w:val="0"/>
                <w:sz w:val="17"/>
              </w:rPr>
              <w:t>313.7</w:t>
            </w:r>
          </w:p>
        </w:tc>
        <w:tc>
          <w:tcPr>
            <w:tcW w:type="dxa" w:w="1263"/>
          </w:tcPr>
          <w:p>
            <w:pPr>
              <w:spacing w:line="264" w:lineRule="auto"/>
              <w:jc w:val="left"/>
            </w:pPr>
            <w:r>
              <w:rPr>
                <w:rFonts w:ascii="宋体" w:hAnsi="宋体" w:eastAsia="宋体"/>
                <w:b w:val="0"/>
                <w:sz w:val="17"/>
              </w:rPr>
              <w:t>0.810</w:t>
            </w:r>
          </w:p>
        </w:tc>
      </w:tr>
      <w:tr>
        <w:tc>
          <w:tcPr>
            <w:tcW w:type="dxa" w:w="1263"/>
          </w:tcPr>
          <w:p>
            <w:pPr>
              <w:spacing w:line="264" w:lineRule="auto"/>
              <w:jc w:val="left"/>
            </w:pPr>
            <w:r>
              <w:rPr>
                <w:rFonts w:ascii="宋体" w:hAnsi="宋体" w:eastAsia="宋体"/>
                <w:b w:val="0"/>
                <w:sz w:val="17"/>
              </w:rPr>
              <w:t>折中端</w:t>
            </w:r>
          </w:p>
        </w:tc>
        <w:tc>
          <w:tcPr>
            <w:tcW w:type="dxa" w:w="1263"/>
          </w:tcPr>
          <w:p>
            <w:pPr>
              <w:spacing w:line="264" w:lineRule="auto"/>
              <w:jc w:val="left"/>
            </w:pPr>
            <w:r>
              <w:rPr>
                <w:rFonts w:ascii="宋体" w:hAnsi="宋体" w:eastAsia="宋体"/>
                <w:b w:val="0"/>
                <w:sz w:val="17"/>
              </w:rPr>
              <w:t>5.20</w:t>
            </w:r>
          </w:p>
        </w:tc>
        <w:tc>
          <w:tcPr>
            <w:tcW w:type="dxa" w:w="1263"/>
          </w:tcPr>
          <w:p>
            <w:pPr>
              <w:spacing w:line="264" w:lineRule="auto"/>
              <w:jc w:val="left"/>
            </w:pPr>
            <w:r>
              <w:rPr>
                <w:rFonts w:ascii="宋体" w:hAnsi="宋体" w:eastAsia="宋体"/>
                <w:b w:val="0"/>
                <w:sz w:val="17"/>
              </w:rPr>
              <w:t>71%</w:t>
            </w:r>
          </w:p>
        </w:tc>
        <w:tc>
          <w:tcPr>
            <w:tcW w:type="dxa" w:w="1263"/>
          </w:tcPr>
          <w:p>
            <w:pPr>
              <w:spacing w:line="264" w:lineRule="auto"/>
              <w:jc w:val="left"/>
            </w:pPr>
            <w:r>
              <w:rPr>
                <w:rFonts w:ascii="宋体" w:hAnsi="宋体" w:eastAsia="宋体"/>
                <w:b w:val="0"/>
                <w:sz w:val="17"/>
              </w:rPr>
              <w:t>3.50</w:t>
            </w:r>
          </w:p>
        </w:tc>
        <w:tc>
          <w:tcPr>
            <w:tcW w:type="dxa" w:w="1263"/>
          </w:tcPr>
          <w:p>
            <w:pPr>
              <w:spacing w:line="264" w:lineRule="auto"/>
              <w:jc w:val="left"/>
            </w:pPr>
            <w:r>
              <w:rPr>
                <w:rFonts w:ascii="宋体" w:hAnsi="宋体" w:eastAsia="宋体"/>
                <w:b w:val="0"/>
                <w:sz w:val="17"/>
              </w:rPr>
              <w:t>9.735</w:t>
            </w:r>
          </w:p>
        </w:tc>
        <w:tc>
          <w:tcPr>
            <w:tcW w:type="dxa" w:w="1263"/>
          </w:tcPr>
          <w:p>
            <w:pPr>
              <w:spacing w:line="264" w:lineRule="auto"/>
              <w:jc w:val="left"/>
            </w:pPr>
            <w:r>
              <w:rPr>
                <w:rFonts w:ascii="宋体" w:hAnsi="宋体" w:eastAsia="宋体"/>
                <w:b w:val="0"/>
                <w:sz w:val="17"/>
              </w:rPr>
              <w:t>874.7</w:t>
            </w:r>
          </w:p>
        </w:tc>
        <w:tc>
          <w:tcPr>
            <w:tcW w:type="dxa" w:w="1263"/>
          </w:tcPr>
          <w:p>
            <w:pPr>
              <w:spacing w:line="264" w:lineRule="auto"/>
              <w:jc w:val="left"/>
            </w:pPr>
            <w:r>
              <w:rPr>
                <w:rFonts w:ascii="宋体" w:hAnsi="宋体" w:eastAsia="宋体"/>
                <w:b w:val="0"/>
                <w:sz w:val="17"/>
              </w:rPr>
              <w:t>1.000</w:t>
            </w:r>
          </w:p>
        </w:tc>
      </w:tr>
      <w:tr>
        <w:tc>
          <w:tcPr>
            <w:tcW w:type="dxa" w:w="1263"/>
          </w:tcPr>
          <w:p>
            <w:pPr>
              <w:spacing w:line="264" w:lineRule="auto"/>
              <w:jc w:val="left"/>
            </w:pPr>
            <w:r>
              <w:rPr>
                <w:rFonts w:ascii="宋体" w:hAnsi="宋体" w:eastAsia="宋体"/>
                <w:b w:val="0"/>
                <w:sz w:val="17"/>
              </w:rPr>
              <w:t>寿命端</w:t>
            </w:r>
          </w:p>
        </w:tc>
        <w:tc>
          <w:tcPr>
            <w:tcW w:type="dxa" w:w="1263"/>
          </w:tcPr>
          <w:p>
            <w:pPr>
              <w:spacing w:line="264" w:lineRule="auto"/>
              <w:jc w:val="left"/>
            </w:pPr>
            <w:r>
              <w:rPr>
                <w:rFonts w:ascii="宋体" w:hAnsi="宋体" w:eastAsia="宋体"/>
                <w:b w:val="0"/>
                <w:sz w:val="17"/>
              </w:rPr>
              <w:t>4.40</w:t>
            </w:r>
          </w:p>
        </w:tc>
        <w:tc>
          <w:tcPr>
            <w:tcW w:type="dxa" w:w="1263"/>
          </w:tcPr>
          <w:p>
            <w:pPr>
              <w:spacing w:line="264" w:lineRule="auto"/>
              <w:jc w:val="left"/>
            </w:pPr>
            <w:r>
              <w:rPr>
                <w:rFonts w:ascii="宋体" w:hAnsi="宋体" w:eastAsia="宋体"/>
                <w:b w:val="0"/>
                <w:sz w:val="17"/>
              </w:rPr>
              <w:t>71%</w:t>
            </w:r>
          </w:p>
        </w:tc>
        <w:tc>
          <w:tcPr>
            <w:tcW w:type="dxa" w:w="1263"/>
          </w:tcPr>
          <w:p>
            <w:pPr>
              <w:spacing w:line="264" w:lineRule="auto"/>
              <w:jc w:val="left"/>
            </w:pPr>
            <w:r>
              <w:rPr>
                <w:rFonts w:ascii="宋体" w:hAnsi="宋体" w:eastAsia="宋体"/>
                <w:b w:val="0"/>
                <w:sz w:val="17"/>
              </w:rPr>
              <w:t>3.50</w:t>
            </w:r>
          </w:p>
        </w:tc>
        <w:tc>
          <w:tcPr>
            <w:tcW w:type="dxa" w:w="1263"/>
          </w:tcPr>
          <w:p>
            <w:pPr>
              <w:spacing w:line="264" w:lineRule="auto"/>
              <w:jc w:val="left"/>
            </w:pPr>
            <w:r>
              <w:rPr>
                <w:rFonts w:ascii="宋体" w:hAnsi="宋体" w:eastAsia="宋体"/>
                <w:b w:val="0"/>
                <w:sz w:val="17"/>
              </w:rPr>
              <w:t>11.225</w:t>
            </w:r>
          </w:p>
        </w:tc>
        <w:tc>
          <w:tcPr>
            <w:tcW w:type="dxa" w:w="1263"/>
          </w:tcPr>
          <w:p>
            <w:pPr>
              <w:spacing w:line="264" w:lineRule="auto"/>
              <w:jc w:val="left"/>
            </w:pPr>
            <w:r>
              <w:rPr>
                <w:rFonts w:ascii="宋体" w:hAnsi="宋体" w:eastAsia="宋体"/>
                <w:b w:val="0"/>
                <w:sz w:val="17"/>
              </w:rPr>
              <w:t>984.4</w:t>
            </w:r>
          </w:p>
        </w:tc>
        <w:tc>
          <w:tcPr>
            <w:tcW w:type="dxa" w:w="1263"/>
          </w:tcPr>
          <w:p>
            <w:pPr>
              <w:spacing w:line="264" w:lineRule="auto"/>
              <w:jc w:val="left"/>
            </w:pPr>
            <w:r>
              <w:rPr>
                <w:rFonts w:ascii="宋体" w:hAnsi="宋体" w:eastAsia="宋体"/>
                <w:b w:val="0"/>
                <w:sz w:val="17"/>
              </w:rPr>
              <w:t>1.000</w:t>
            </w:r>
          </w:p>
        </w:tc>
      </w:tr>
    </w:tbl>
    <w:p>
      <w:pPr>
        <w:spacing w:line="324" w:lineRule="auto"/>
        <w:ind w:firstLine="420"/>
        <w:jc w:val="both"/>
      </w:pPr>
      <w:r>
        <w:rPr>
          <w:rFonts w:ascii="宋体" w:hAnsi="宋体" w:eastAsia="宋体"/>
          <w:b w:val="0"/>
          <w:sz w:val="21"/>
        </w:rPr>
        <w:t>P3 在 Secondary 上未支持升级，且 Secondary 仅含 8 个已有策略组。因此，1,775 个候选不被称为最优/有效策略集，三条代表点不被称为推荐处方，开发池中 4 个非支配既有策略也不被称为正式 Pareto 前沿。Q4 的可信度为中等，交付物是候选集合、风险边界和 pilot 接口。</w:t>
      </w:r>
    </w:p>
    <w:p>
      <w:pPr>
        <w:pStyle w:val="2"/>
        <w:spacing w:before="200" w:after="100"/>
      </w:pPr>
      <w:r>
        <w:rPr>
          <w:rFonts w:ascii="黑体" w:hAnsi="黑体" w:eastAsia="黑体"/>
          <w:b/>
          <w:sz w:val="28"/>
        </w:rPr>
        <w:t>7 稳健性、优势与局限</w:t>
      </w:r>
    </w:p>
    <w:p>
      <w:pPr>
        <w:spacing w:line="324" w:lineRule="auto"/>
        <w:ind w:firstLine="420"/>
        <w:jc w:val="both"/>
      </w:pPr>
      <w:r>
        <w:rPr>
          <w:rFonts w:ascii="宋体" w:hAnsi="宋体" w:eastAsia="宋体"/>
          <w:b w:val="0"/>
          <w:sz w:val="21"/>
        </w:rPr>
        <w:t>稳健性部分将点估计与重抽样稳定性分开：Q1 对寿命分布与重复策略使用 bootstrap；Q2 使用策略组块 bootstrap 检验 M2−M1 的误差差值；Q3 同时报送策略/电芯等权误差、窗口角色与 Secondary 的负向外部结果；Q4 同时报送支持率、双空间邻域与最小样本量门槛。</w:t>
      </w:r>
    </w:p>
    <w:p>
      <w:pPr>
        <w:spacing w:line="324" w:lineRule="auto"/>
        <w:ind w:firstLine="420"/>
        <w:jc w:val="both"/>
      </w:pPr>
      <w:r>
        <w:rPr>
          <w:rFonts w:ascii="宋体" w:hAnsi="宋体" w:eastAsia="宋体"/>
          <w:b w:val="0"/>
          <w:sz w:val="21"/>
        </w:rPr>
        <w:t>方法优势是：局部曲线异常不导致整枚电芯被静默删除；不同问题按可获得信息的时点分层，避免未来信息泄漏和用 Primary 反复选型；Q4 将模型候选与真实试验确认分开。局限包括：策略重复数有限，观察性数据不能排除批次和未观测混杂；Q2 的交互改善不稳定；Q3 的曲线增强未外部复现；P3 的外部误差不支持新策略直接排序。故全文所有策略结论都限定为现有支持域内的条件比较或待确认候选。</w:t>
      </w:r>
    </w:p>
    <w:p>
      <w:pPr>
        <w:pStyle w:val="2"/>
        <w:spacing w:before="200" w:after="100"/>
      </w:pPr>
      <w:r>
        <w:rPr>
          <w:rFonts w:ascii="黑体" w:hAnsi="黑体" w:eastAsia="黑体"/>
          <w:b/>
          <w:sz w:val="28"/>
        </w:rPr>
        <w:t>8 结论</w:t>
      </w:r>
    </w:p>
    <w:p>
      <w:pPr>
        <w:spacing w:line="324" w:lineRule="auto"/>
        <w:ind w:firstLine="420"/>
        <w:jc w:val="both"/>
      </w:pPr>
      <w:r>
        <w:rPr>
          <w:rFonts w:ascii="宋体" w:hAnsi="宋体" w:eastAsia="宋体"/>
          <w:b w:val="0"/>
          <w:sz w:val="21"/>
        </w:rPr>
        <w:t>1. 经过条码连接与字段—循环审计，形成 124 枚物理电芯的可追溯分析数据；寿命右偏且个体差异明显。</w:t>
      </w:r>
    </w:p>
    <w:p>
      <w:pPr>
        <w:spacing w:line="324" w:lineRule="auto"/>
        <w:ind w:firstLine="420"/>
        <w:jc w:val="both"/>
      </w:pPr>
      <w:r>
        <w:rPr>
          <w:rFonts w:ascii="宋体" w:hAnsi="宋体" w:eastAsia="宋体"/>
          <w:b w:val="0"/>
          <w:sz w:val="21"/>
        </w:rPr>
        <w:t>2. 重复策略组可支持本数据集内的观察性比较，但不能支持因果解释、稳定全排序或以单枚电芯代表策略总体。</w:t>
      </w:r>
    </w:p>
    <w:p>
      <w:pPr>
        <w:spacing w:line="324" w:lineRule="auto"/>
        <w:ind w:firstLine="420"/>
        <w:jc w:val="both"/>
      </w:pPr>
      <w:r>
        <w:rPr>
          <w:rFonts w:ascii="宋体" w:hAnsi="宋体" w:eastAsia="宋体"/>
          <w:b w:val="0"/>
          <w:sz w:val="21"/>
        </w:rPr>
        <w:t>3. M1 主效应 Ridge 是策略—寿命关联的正文模型；M2 的二阶交互仅保留为不确定的敏感性分析，P3 仅用于候选排程接口。</w:t>
      </w:r>
    </w:p>
    <w:p>
      <w:pPr>
        <w:spacing w:line="324" w:lineRule="auto"/>
        <w:ind w:firstLine="420"/>
        <w:jc w:val="both"/>
      </w:pPr>
      <w:r>
        <w:rPr>
          <w:rFonts w:ascii="宋体" w:hAnsi="宋体" w:eastAsia="宋体"/>
          <w:b w:val="0"/>
          <w:sz w:val="21"/>
        </w:rPr>
        <w:t>4. Q3 的无泄漏联合流程在 Secondary 上可运行，但 M3R-k=5 的开发期优势未复现；k=5 与 k=100 保持预先冻结的不同角色，并以“需谨慎”解释。</w:t>
      </w:r>
    </w:p>
    <w:p>
      <w:pPr>
        <w:spacing w:line="324" w:lineRule="auto"/>
        <w:ind w:firstLine="420"/>
        <w:jc w:val="both"/>
      </w:pPr>
      <w:r>
        <w:rPr>
          <w:rFonts w:ascii="宋体" w:hAnsi="宋体" w:eastAsia="宋体"/>
          <w:b w:val="0"/>
          <w:sz w:val="21"/>
        </w:rPr>
        <w:t>5. Q4 交付支持域内的 `Q2_provisional` 候选与 k=100 pilot 闭环，而不是未经验证的最优新充电策略。</w:t>
      </w:r>
    </w:p>
    <w:p>
      <w:pPr>
        <w:pStyle w:val="2"/>
        <w:spacing w:before="200" w:after="100"/>
      </w:pPr>
      <w:r>
        <w:rPr>
          <w:rFonts w:ascii="黑体" w:hAnsi="黑体" w:eastAsia="黑体"/>
          <w:b/>
          <w:sz w:val="28"/>
        </w:rPr>
        <w:t>参考文献</w:t>
      </w:r>
    </w:p>
    <w:p>
      <w:pPr>
        <w:spacing w:line="324" w:lineRule="auto"/>
        <w:ind w:firstLine="420"/>
        <w:jc w:val="both"/>
      </w:pPr>
      <w:r>
        <w:rPr>
          <w:rFonts w:ascii="宋体" w:hAnsi="宋体" w:eastAsia="宋体"/>
          <w:b w:val="0"/>
          <w:sz w:val="21"/>
        </w:rPr>
        <w:t>[1] Severson K A, Attia P M, Jin N, et al. Data-driven prediction of battery cycle life before capacity degradation. Nature Energy, 2019, 4(5): 383–391.</w:t>
      </w:r>
    </w:p>
    <w:p>
      <w:pPr>
        <w:spacing w:line="324" w:lineRule="auto"/>
        <w:ind w:firstLine="420"/>
        <w:jc w:val="both"/>
      </w:pPr>
      <w:r>
        <w:rPr>
          <w:rFonts w:ascii="宋体" w:hAnsi="宋体" w:eastAsia="宋体"/>
          <w:b w:val="0"/>
          <w:sz w:val="21"/>
        </w:rPr>
        <w:t>[2] B 题题目材料. 锂离子电池分段快充策略建模题目材料. 2026. 本地文件：B.docx。</w:t>
      </w:r>
    </w:p>
    <w:p>
      <w:pPr>
        <w:pStyle w:val="2"/>
        <w:spacing w:before="200" w:after="100"/>
      </w:pPr>
      <w:r>
        <w:rPr>
          <w:rFonts w:ascii="黑体" w:hAnsi="黑体" w:eastAsia="黑体"/>
          <w:b/>
          <w:sz w:val="28"/>
        </w:rPr>
        <w:t>附录：论文图表安排</w:t>
      </w:r>
    </w:p>
    <w:tbl>
      <w:tblPr>
        <w:tblStyle w:val="13"/>
        <w:tblW w:type="auto" w:w="0"/>
        <w:tblLook w:firstColumn="1" w:firstRow="1" w:lastColumn="0" w:lastRow="0" w:noHBand="0" w:noVBand="1" w:val="04A0"/>
      </w:tblPr>
      <w:tblGrid>
        <w:gridCol w:w="2948"/>
        <w:gridCol w:w="2948"/>
        <w:gridCol w:w="2948"/>
      </w:tblGrid>
      <w:tr>
        <w:trPr>
          <w:tblHeader w:val="true"/>
        </w:trPr>
        <w:tc>
          <w:tcPr>
            <w:tcW w:type="dxa" w:w="2948"/>
          </w:tcPr>
          <w:p>
            <w:pPr>
              <w:spacing w:line="264" w:lineRule="auto"/>
              <w:jc w:val="center"/>
            </w:pPr>
            <w:r>
              <w:rPr>
                <w:rFonts w:ascii="宋体" w:hAnsi="宋体" w:eastAsia="宋体"/>
                <w:b/>
                <w:sz w:val="17"/>
              </w:rPr>
              <w:t>编号</w:t>
            </w:r>
          </w:p>
        </w:tc>
        <w:tc>
          <w:tcPr>
            <w:tcW w:type="dxa" w:w="2948"/>
          </w:tcPr>
          <w:p>
            <w:pPr>
              <w:spacing w:line="264" w:lineRule="auto"/>
              <w:jc w:val="center"/>
            </w:pPr>
            <w:r>
              <w:rPr>
                <w:rFonts w:ascii="宋体" w:hAnsi="宋体" w:eastAsia="宋体"/>
                <w:b/>
                <w:sz w:val="17"/>
              </w:rPr>
              <w:t>图表</w:t>
            </w:r>
          </w:p>
        </w:tc>
        <w:tc>
          <w:tcPr>
            <w:tcW w:type="dxa" w:w="2948"/>
          </w:tcPr>
          <w:p>
            <w:pPr>
              <w:spacing w:line="264" w:lineRule="auto"/>
              <w:jc w:val="center"/>
            </w:pPr>
            <w:r>
              <w:rPr>
                <w:rFonts w:ascii="宋体" w:hAnsi="宋体" w:eastAsia="宋体"/>
                <w:b/>
                <w:sz w:val="17"/>
              </w:rPr>
              <w:t>作用</w:t>
            </w:r>
          </w:p>
        </w:tc>
      </w:tr>
      <w:tr>
        <w:tc>
          <w:tcPr>
            <w:tcW w:type="dxa" w:w="2948"/>
          </w:tcPr>
          <w:p>
            <w:pPr>
              <w:spacing w:line="264" w:lineRule="auto"/>
              <w:jc w:val="left"/>
            </w:pPr>
            <w:r>
              <w:rPr>
                <w:rFonts w:ascii="宋体" w:hAnsi="宋体" w:eastAsia="宋体"/>
                <w:b w:val="0"/>
                <w:sz w:val="17"/>
              </w:rPr>
              <w:t>图 1</w:t>
            </w:r>
          </w:p>
        </w:tc>
        <w:tc>
          <w:tcPr>
            <w:tcW w:type="dxa" w:w="2948"/>
          </w:tcPr>
          <w:p>
            <w:pPr>
              <w:spacing w:line="264" w:lineRule="auto"/>
              <w:jc w:val="left"/>
            </w:pPr>
            <w:r>
              <w:rPr>
                <w:rFonts w:ascii="宋体" w:hAnsi="宋体" w:eastAsia="宋体"/>
                <w:b w:val="0"/>
                <w:sz w:val="17"/>
              </w:rPr>
              <w:t>电芯寿命分布</w:t>
            </w:r>
          </w:p>
        </w:tc>
        <w:tc>
          <w:tcPr>
            <w:tcW w:type="dxa" w:w="2948"/>
          </w:tcPr>
          <w:p>
            <w:pPr>
              <w:spacing w:line="264" w:lineRule="auto"/>
              <w:jc w:val="left"/>
            </w:pPr>
            <w:r>
              <w:rPr>
                <w:rFonts w:ascii="宋体" w:hAnsi="宋体" w:eastAsia="宋体"/>
                <w:b w:val="0"/>
                <w:sz w:val="17"/>
              </w:rPr>
              <w:t>Q1 电芯异质性</w:t>
            </w:r>
          </w:p>
        </w:tc>
      </w:tr>
      <w:tr>
        <w:tc>
          <w:tcPr>
            <w:tcW w:type="dxa" w:w="2948"/>
          </w:tcPr>
          <w:p>
            <w:pPr>
              <w:spacing w:line="264" w:lineRule="auto"/>
              <w:jc w:val="left"/>
            </w:pPr>
            <w:r>
              <w:rPr>
                <w:rFonts w:ascii="宋体" w:hAnsi="宋体" w:eastAsia="宋体"/>
                <w:b w:val="0"/>
                <w:sz w:val="17"/>
              </w:rPr>
              <w:t>图 2</w:t>
            </w:r>
          </w:p>
        </w:tc>
        <w:tc>
          <w:tcPr>
            <w:tcW w:type="dxa" w:w="2948"/>
          </w:tcPr>
          <w:p>
            <w:pPr>
              <w:spacing w:line="264" w:lineRule="auto"/>
              <w:jc w:val="left"/>
            </w:pPr>
            <w:r>
              <w:rPr>
                <w:rFonts w:ascii="宋体" w:hAnsi="宋体" w:eastAsia="宋体"/>
                <w:b w:val="0"/>
                <w:sz w:val="17"/>
              </w:rPr>
              <w:t>重复策略组寿命比较</w:t>
            </w:r>
          </w:p>
        </w:tc>
        <w:tc>
          <w:tcPr>
            <w:tcW w:type="dxa" w:w="2948"/>
          </w:tcPr>
          <w:p>
            <w:pPr>
              <w:spacing w:line="264" w:lineRule="auto"/>
              <w:jc w:val="left"/>
            </w:pPr>
            <w:r>
              <w:rPr>
                <w:rFonts w:ascii="宋体" w:hAnsi="宋体" w:eastAsia="宋体"/>
                <w:b w:val="0"/>
                <w:sz w:val="17"/>
              </w:rPr>
              <w:t>Q1 观察性策略组对照</w:t>
            </w:r>
          </w:p>
        </w:tc>
      </w:tr>
      <w:tr>
        <w:tc>
          <w:tcPr>
            <w:tcW w:type="dxa" w:w="2948"/>
          </w:tcPr>
          <w:p>
            <w:pPr>
              <w:spacing w:line="264" w:lineRule="auto"/>
              <w:jc w:val="left"/>
            </w:pPr>
            <w:r>
              <w:rPr>
                <w:rFonts w:ascii="宋体" w:hAnsi="宋体" w:eastAsia="宋体"/>
                <w:b w:val="0"/>
                <w:sz w:val="17"/>
              </w:rPr>
              <w:t>图 3</w:t>
            </w:r>
          </w:p>
        </w:tc>
        <w:tc>
          <w:tcPr>
            <w:tcW w:type="dxa" w:w="2948"/>
          </w:tcPr>
          <w:p>
            <w:pPr>
              <w:spacing w:line="264" w:lineRule="auto"/>
              <w:jc w:val="left"/>
            </w:pPr>
            <w:r>
              <w:rPr>
                <w:rFonts w:ascii="宋体" w:hAnsi="宋体" w:eastAsia="宋体"/>
                <w:b w:val="0"/>
                <w:sz w:val="17"/>
              </w:rPr>
              <w:t>M1/M2 分组折外预测</w:t>
            </w:r>
          </w:p>
        </w:tc>
        <w:tc>
          <w:tcPr>
            <w:tcW w:type="dxa" w:w="2948"/>
          </w:tcPr>
          <w:p>
            <w:pPr>
              <w:spacing w:line="264" w:lineRule="auto"/>
              <w:jc w:val="left"/>
            </w:pPr>
            <w:r>
              <w:rPr>
                <w:rFonts w:ascii="宋体" w:hAnsi="宋体" w:eastAsia="宋体"/>
                <w:b w:val="0"/>
                <w:sz w:val="17"/>
              </w:rPr>
              <w:t>Q2 主线与敏感性对照</w:t>
            </w:r>
          </w:p>
        </w:tc>
      </w:tr>
      <w:tr>
        <w:tc>
          <w:tcPr>
            <w:tcW w:type="dxa" w:w="2948"/>
          </w:tcPr>
          <w:p>
            <w:pPr>
              <w:spacing w:line="264" w:lineRule="auto"/>
              <w:jc w:val="left"/>
            </w:pPr>
            <w:r>
              <w:rPr>
                <w:rFonts w:ascii="宋体" w:hAnsi="宋体" w:eastAsia="宋体"/>
                <w:b w:val="0"/>
                <w:sz w:val="17"/>
              </w:rPr>
              <w:t>图 4</w:t>
            </w:r>
          </w:p>
        </w:tc>
        <w:tc>
          <w:tcPr>
            <w:tcW w:type="dxa" w:w="2948"/>
          </w:tcPr>
          <w:p>
            <w:pPr>
              <w:spacing w:line="264" w:lineRule="auto"/>
              <w:jc w:val="left"/>
            </w:pPr>
            <w:r>
              <w:rPr>
                <w:rFonts w:ascii="宋体" w:hAnsi="宋体" w:eastAsia="宋体"/>
                <w:b w:val="0"/>
                <w:sz w:val="17"/>
              </w:rPr>
              <w:t>Q2 策略组 bootstrap</w:t>
            </w:r>
          </w:p>
        </w:tc>
        <w:tc>
          <w:tcPr>
            <w:tcW w:type="dxa" w:w="2948"/>
          </w:tcPr>
          <w:p>
            <w:pPr>
              <w:spacing w:line="264" w:lineRule="auto"/>
              <w:jc w:val="left"/>
            </w:pPr>
            <w:r>
              <w:rPr>
                <w:rFonts w:ascii="宋体" w:hAnsi="宋体" w:eastAsia="宋体"/>
                <w:b w:val="0"/>
                <w:sz w:val="17"/>
              </w:rPr>
              <w:t>Q2 交互项不升级的证据</w:t>
            </w:r>
          </w:p>
        </w:tc>
      </w:tr>
      <w:tr>
        <w:tc>
          <w:tcPr>
            <w:tcW w:type="dxa" w:w="2948"/>
          </w:tcPr>
          <w:p>
            <w:pPr>
              <w:spacing w:line="264" w:lineRule="auto"/>
              <w:jc w:val="left"/>
            </w:pPr>
            <w:r>
              <w:rPr>
                <w:rFonts w:ascii="宋体" w:hAnsi="宋体" w:eastAsia="宋体"/>
                <w:b w:val="0"/>
                <w:sz w:val="17"/>
              </w:rPr>
              <w:t>图 5</w:t>
            </w:r>
          </w:p>
        </w:tc>
        <w:tc>
          <w:tcPr>
            <w:tcW w:type="dxa" w:w="2948"/>
          </w:tcPr>
          <w:p>
            <w:pPr>
              <w:spacing w:line="264" w:lineRule="auto"/>
              <w:jc w:val="left"/>
            </w:pPr>
            <w:r>
              <w:rPr>
                <w:rFonts w:ascii="宋体" w:hAnsi="宋体" w:eastAsia="宋体"/>
                <w:b w:val="0"/>
                <w:sz w:val="17"/>
              </w:rPr>
              <w:t>Secondary 实测—预测对比</w:t>
            </w:r>
          </w:p>
        </w:tc>
        <w:tc>
          <w:tcPr>
            <w:tcW w:type="dxa" w:w="2948"/>
          </w:tcPr>
          <w:p>
            <w:pPr>
              <w:spacing w:line="264" w:lineRule="auto"/>
              <w:jc w:val="left"/>
            </w:pPr>
            <w:r>
              <w:rPr>
                <w:rFonts w:ascii="宋体" w:hAnsi="宋体" w:eastAsia="宋体"/>
                <w:b w:val="0"/>
                <w:sz w:val="17"/>
              </w:rPr>
              <w:t>Q3 外部压力测试与负向结果</w:t>
            </w:r>
          </w:p>
        </w:tc>
      </w:tr>
      <w:tr>
        <w:tc>
          <w:tcPr>
            <w:tcW w:type="dxa" w:w="2948"/>
          </w:tcPr>
          <w:p>
            <w:pPr>
              <w:spacing w:line="264" w:lineRule="auto"/>
              <w:jc w:val="left"/>
            </w:pPr>
            <w:r>
              <w:rPr>
                <w:rFonts w:ascii="宋体" w:hAnsi="宋体" w:eastAsia="宋体"/>
                <w:b w:val="0"/>
                <w:sz w:val="17"/>
              </w:rPr>
              <w:t>图 6</w:t>
            </w:r>
          </w:p>
        </w:tc>
        <w:tc>
          <w:tcPr>
            <w:tcW w:type="dxa" w:w="2948"/>
          </w:tcPr>
          <w:p>
            <w:pPr>
              <w:spacing w:line="264" w:lineRule="auto"/>
              <w:jc w:val="left"/>
            </w:pPr>
            <w:r>
              <w:rPr>
                <w:rFonts w:ascii="宋体" w:hAnsi="宋体" w:eastAsia="宋体"/>
                <w:b w:val="0"/>
                <w:sz w:val="17"/>
              </w:rPr>
              <w:t>双空间支持域候选筛选</w:t>
            </w:r>
          </w:p>
        </w:tc>
        <w:tc>
          <w:tcPr>
            <w:tcW w:type="dxa" w:w="2948"/>
          </w:tcPr>
          <w:p>
            <w:pPr>
              <w:spacing w:line="264" w:lineRule="auto"/>
              <w:jc w:val="left"/>
            </w:pPr>
            <w:r>
              <w:rPr>
                <w:rFonts w:ascii="宋体" w:hAnsi="宋体" w:eastAsia="宋体"/>
                <w:b w:val="0"/>
                <w:sz w:val="17"/>
              </w:rPr>
              <w:t>Q4 候选而非最优的边界</w:t>
            </w:r>
          </w:p>
        </w:tc>
      </w:tr>
      <w:tr>
        <w:tc>
          <w:tcPr>
            <w:tcW w:type="dxa" w:w="2948"/>
          </w:tcPr>
          <w:p>
            <w:pPr>
              <w:spacing w:line="264" w:lineRule="auto"/>
              <w:jc w:val="left"/>
            </w:pPr>
            <w:r>
              <w:rPr>
                <w:rFonts w:ascii="宋体" w:hAnsi="宋体" w:eastAsia="宋体"/>
                <w:b w:val="0"/>
                <w:sz w:val="17"/>
              </w:rPr>
              <w:t>图 7</w:t>
            </w:r>
          </w:p>
        </w:tc>
        <w:tc>
          <w:tcPr>
            <w:tcW w:type="dxa" w:w="2948"/>
          </w:tcPr>
          <w:p>
            <w:pPr>
              <w:spacing w:line="264" w:lineRule="auto"/>
              <w:jc w:val="left"/>
            </w:pPr>
            <w:r>
              <w:rPr>
                <w:rFonts w:ascii="宋体" w:hAnsi="宋体" w:eastAsia="宋体"/>
                <w:b w:val="0"/>
                <w:sz w:val="17"/>
              </w:rPr>
              <w:t>k=100 pilot 代表点</w:t>
            </w:r>
          </w:p>
        </w:tc>
        <w:tc>
          <w:tcPr>
            <w:tcW w:type="dxa" w:w="2948"/>
          </w:tcPr>
          <w:p>
            <w:pPr>
              <w:spacing w:line="264" w:lineRule="auto"/>
              <w:jc w:val="left"/>
            </w:pPr>
            <w:r>
              <w:rPr>
                <w:rFonts w:ascii="宋体" w:hAnsi="宋体" w:eastAsia="宋体"/>
                <w:b w:val="0"/>
                <w:sz w:val="17"/>
              </w:rPr>
              <w:t>Q4 试验闭环接口</w:t>
            </w:r>
          </w:p>
        </w:tc>
      </w:tr>
    </w:tbl>
    <w:sectPr>
      <w:headerReference r:id="rId7" w:type="first"/>
      <w:footerReference r:id="rId10" w:type="first"/>
      <w:headerReference r:id="rId5" w:type="default"/>
      <w:footerReference r:id="rId8" w:type="default"/>
      <w:headerReference r:id="rId6" w:type="even"/>
      <w:footerReference r:id="rId9" w:type="even"/>
      <w:pgSz w:w="11906" w:h="16838"/>
      <w:pgMar w:top="1440" w:right="1531" w:bottom="1440" w:left="153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enlo">
    <w:altName w:val="Courier New"/>
    <w:panose1 w:val="020B0609030804020204"/>
    <w:charset w:val="00"/>
    <w:family w:val="modern"/>
    <w:pitch w:val="default"/>
    <w:sig w:usb0="00000000" w:usb1="00000000" w:usb2="02000028" w:usb3="00000000" w:csb0="000001D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8D797">
    <w:pPr>
      <w:pStyle w:val="7"/>
      <w:ind w:firstLine="0" w:firstLineChars="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r>
      <w:rPr>
        <w:rFonts w:ascii="宋体" w:hAnsi="宋体" w:eastAsia="宋体"/>
        <w:b w:val="0"/>
        <w:sz w:val="17"/>
      </w:rPr>
      <w:t>｜冻结结果写作版｜提交前仍需版式与引用复核</w:t>
    </w:r>
  </w:p>
  <w:p w14:paraId="009DA9DC">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295F">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A3B9">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9BBD">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8BF35">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DAE9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CD4293"/>
    <w:multiLevelType w:val="multilevel"/>
    <w:tmpl w:val="73CD4293"/>
    <w:lvl w:ilvl="0" w:tentative="0">
      <w:start w:val="1"/>
      <w:numFmt w:val="chineseCountingThousand"/>
      <w:pStyle w:val="2"/>
      <w:suff w:val="space"/>
      <w:lvlText w:val="%1、"/>
      <w:lvlJc w:val="left"/>
      <w:pPr>
        <w:ind w:left="425" w:hanging="425"/>
      </w:pPr>
      <w:rPr>
        <w:rFonts w:hint="eastAsia" w:ascii="黑体" w:hAnsi="黑体" w:eastAsia="黑体"/>
        <w:b w:val="0"/>
        <w:i w:val="0"/>
        <w:sz w:val="28"/>
      </w:rPr>
    </w:lvl>
    <w:lvl w:ilvl="1" w:tentative="0">
      <w:start w:val="1"/>
      <w:numFmt w:val="decimal"/>
      <w:pStyle w:val="3"/>
      <w:isLgl/>
      <w:suff w:val="space"/>
      <w:lvlText w:val="%1.%2"/>
      <w:lvlJc w:val="left"/>
      <w:pPr>
        <w:ind w:left="992" w:hanging="567"/>
      </w:pPr>
      <w:rPr>
        <w:rFonts w:hint="eastAsia" w:ascii="黑体" w:hAnsi="黑体" w:eastAsia="黑体"/>
        <w:b w:val="0"/>
        <w:i w:val="0"/>
        <w:sz w:val="24"/>
      </w:rPr>
    </w:lvl>
    <w:lvl w:ilvl="2" w:tentative="0">
      <w:start w:val="1"/>
      <w:numFmt w:val="decimal"/>
      <w:pStyle w:val="4"/>
      <w:isLgl/>
      <w:suff w:val="space"/>
      <w:lvlText w:val="%1.%2.%3"/>
      <w:lvlJc w:val="left"/>
      <w:pPr>
        <w:ind w:left="1418" w:hanging="567"/>
      </w:pPr>
      <w:rPr>
        <w:rFonts w:hint="eastAsia" w:ascii="黑体" w:hAns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539F4"/>
    <w:rsid w:val="00060C36"/>
    <w:rsid w:val="00064A61"/>
    <w:rsid w:val="0008029E"/>
    <w:rsid w:val="000815BE"/>
    <w:rsid w:val="00087A05"/>
    <w:rsid w:val="00090D69"/>
    <w:rsid w:val="000A1C75"/>
    <w:rsid w:val="000B11C1"/>
    <w:rsid w:val="000B78CB"/>
    <w:rsid w:val="000D2E4E"/>
    <w:rsid w:val="000E03AA"/>
    <w:rsid w:val="00134651"/>
    <w:rsid w:val="001374D3"/>
    <w:rsid w:val="00144B2A"/>
    <w:rsid w:val="00161DA2"/>
    <w:rsid w:val="00171A48"/>
    <w:rsid w:val="00172B82"/>
    <w:rsid w:val="001873C2"/>
    <w:rsid w:val="001939A1"/>
    <w:rsid w:val="00195F45"/>
    <w:rsid w:val="0019771A"/>
    <w:rsid w:val="001A2F74"/>
    <w:rsid w:val="001A35B1"/>
    <w:rsid w:val="001C239C"/>
    <w:rsid w:val="001C7D65"/>
    <w:rsid w:val="001E1F3D"/>
    <w:rsid w:val="001F3C75"/>
    <w:rsid w:val="001F5C5A"/>
    <w:rsid w:val="00217314"/>
    <w:rsid w:val="00222A3C"/>
    <w:rsid w:val="00225389"/>
    <w:rsid w:val="0022698C"/>
    <w:rsid w:val="002319B3"/>
    <w:rsid w:val="00236AE3"/>
    <w:rsid w:val="00240B4E"/>
    <w:rsid w:val="00250F22"/>
    <w:rsid w:val="00254993"/>
    <w:rsid w:val="002633EC"/>
    <w:rsid w:val="002828E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348E"/>
    <w:rsid w:val="003E5411"/>
    <w:rsid w:val="0042468F"/>
    <w:rsid w:val="00432972"/>
    <w:rsid w:val="00443B9A"/>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5334D"/>
    <w:rsid w:val="00665939"/>
    <w:rsid w:val="006744CD"/>
    <w:rsid w:val="00696B38"/>
    <w:rsid w:val="006C057D"/>
    <w:rsid w:val="006C5041"/>
    <w:rsid w:val="006D4342"/>
    <w:rsid w:val="006E78E6"/>
    <w:rsid w:val="006F3BF2"/>
    <w:rsid w:val="00710749"/>
    <w:rsid w:val="00746792"/>
    <w:rsid w:val="007514C2"/>
    <w:rsid w:val="00785F59"/>
    <w:rsid w:val="007A4988"/>
    <w:rsid w:val="007A5476"/>
    <w:rsid w:val="007B2C6C"/>
    <w:rsid w:val="007D57BE"/>
    <w:rsid w:val="007E40F5"/>
    <w:rsid w:val="007F5C0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50CDA"/>
    <w:rsid w:val="00A94FB5"/>
    <w:rsid w:val="00AA26EA"/>
    <w:rsid w:val="00AC0C64"/>
    <w:rsid w:val="00AC5569"/>
    <w:rsid w:val="00AD735E"/>
    <w:rsid w:val="00AE33B8"/>
    <w:rsid w:val="00B44C8B"/>
    <w:rsid w:val="00B734B3"/>
    <w:rsid w:val="00B9313C"/>
    <w:rsid w:val="00B9341E"/>
    <w:rsid w:val="00B94A1F"/>
    <w:rsid w:val="00BB222D"/>
    <w:rsid w:val="00BD4D76"/>
    <w:rsid w:val="00BD59DD"/>
    <w:rsid w:val="00BE5596"/>
    <w:rsid w:val="00C04E01"/>
    <w:rsid w:val="00C055B7"/>
    <w:rsid w:val="00C243A6"/>
    <w:rsid w:val="00C31742"/>
    <w:rsid w:val="00C34ECB"/>
    <w:rsid w:val="00C34FCA"/>
    <w:rsid w:val="00C3760F"/>
    <w:rsid w:val="00C62257"/>
    <w:rsid w:val="00C642CD"/>
    <w:rsid w:val="00C80518"/>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25ACD"/>
    <w:rsid w:val="00D30C2F"/>
    <w:rsid w:val="00D37C10"/>
    <w:rsid w:val="00D40FD6"/>
    <w:rsid w:val="00D505F5"/>
    <w:rsid w:val="00D73511"/>
    <w:rsid w:val="00D77D75"/>
    <w:rsid w:val="00D829B4"/>
    <w:rsid w:val="00DA347F"/>
    <w:rsid w:val="00DB6E2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6245"/>
    <w:rsid w:val="00EB244D"/>
    <w:rsid w:val="00EC1596"/>
    <w:rsid w:val="00ED668A"/>
    <w:rsid w:val="00EE2107"/>
    <w:rsid w:val="00EF1CA6"/>
    <w:rsid w:val="00F03383"/>
    <w:rsid w:val="00F114B1"/>
    <w:rsid w:val="00F174EF"/>
    <w:rsid w:val="00F21999"/>
    <w:rsid w:val="00F51D42"/>
    <w:rsid w:val="00F63512"/>
    <w:rsid w:val="00F91D20"/>
    <w:rsid w:val="00F9561D"/>
    <w:rsid w:val="00FA2AA2"/>
    <w:rsid w:val="00FA4A26"/>
    <w:rsid w:val="00FB417A"/>
    <w:rsid w:val="00FB7BFE"/>
    <w:rsid w:val="00FF19BF"/>
    <w:rsid w:val="02007D38"/>
    <w:rsid w:val="02F920DE"/>
    <w:rsid w:val="03C20E03"/>
    <w:rsid w:val="08017F69"/>
    <w:rsid w:val="095E5D5B"/>
    <w:rsid w:val="0E480BC8"/>
    <w:rsid w:val="133E363B"/>
    <w:rsid w:val="14076907"/>
    <w:rsid w:val="18FB02B6"/>
    <w:rsid w:val="1B171B26"/>
    <w:rsid w:val="1CE14D19"/>
    <w:rsid w:val="1E264227"/>
    <w:rsid w:val="1F2F15DC"/>
    <w:rsid w:val="20347977"/>
    <w:rsid w:val="24507E57"/>
    <w:rsid w:val="248E11CD"/>
    <w:rsid w:val="249E6E14"/>
    <w:rsid w:val="25D07231"/>
    <w:rsid w:val="28164755"/>
    <w:rsid w:val="287405B8"/>
    <w:rsid w:val="29E40E7E"/>
    <w:rsid w:val="2AED4651"/>
    <w:rsid w:val="2BC52ED8"/>
    <w:rsid w:val="2E4104BE"/>
    <w:rsid w:val="2E6D7F83"/>
    <w:rsid w:val="2F897553"/>
    <w:rsid w:val="311B7D98"/>
    <w:rsid w:val="32D81D7B"/>
    <w:rsid w:val="33A37FA3"/>
    <w:rsid w:val="3848736B"/>
    <w:rsid w:val="3C174336"/>
    <w:rsid w:val="3DDD67A7"/>
    <w:rsid w:val="3E552D1B"/>
    <w:rsid w:val="41AA2E44"/>
    <w:rsid w:val="43921968"/>
    <w:rsid w:val="44DC50C3"/>
    <w:rsid w:val="4689127A"/>
    <w:rsid w:val="48267C20"/>
    <w:rsid w:val="48A203D1"/>
    <w:rsid w:val="49B4660E"/>
    <w:rsid w:val="4CE73541"/>
    <w:rsid w:val="4E767FEC"/>
    <w:rsid w:val="53F73CC7"/>
    <w:rsid w:val="555925CB"/>
    <w:rsid w:val="55B54954"/>
    <w:rsid w:val="56486A5C"/>
    <w:rsid w:val="5AB20948"/>
    <w:rsid w:val="606C3347"/>
    <w:rsid w:val="6082700E"/>
    <w:rsid w:val="64EF09EB"/>
    <w:rsid w:val="655A52DF"/>
    <w:rsid w:val="66C043ED"/>
    <w:rsid w:val="6A0C433E"/>
    <w:rsid w:val="6A253167"/>
    <w:rsid w:val="6F3D3197"/>
    <w:rsid w:val="72912A35"/>
    <w:rsid w:val="76740D50"/>
    <w:rsid w:val="797D52E3"/>
    <w:rsid w:val="7AC52BDD"/>
    <w:rsid w:val="7C0F655D"/>
    <w:rsid w:val="7C350056"/>
    <w:rsid w:val="7FAC4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9"/>
    <w:qFormat/>
    <w:uiPriority w:val="9"/>
    <w:pPr>
      <w:keepNext/>
      <w:keepLines/>
      <w:numPr>
        <w:ilvl w:val="0"/>
        <w:numId w:val="1"/>
      </w:numPr>
      <w:spacing w:before="120" w:after="120"/>
      <w:ind w:left="0" w:firstLine="0" w:firstLineChars="0"/>
      <w:jc w:val="center"/>
      <w:outlineLvl w:val="0"/>
    </w:pPr>
    <w:rPr>
      <w:rFonts w:ascii="黑体" w:hAnsi="黑体" w:eastAsia="黑体"/>
      <w:bCs/>
      <w:kern w:val="44"/>
      <w:sz w:val="28"/>
      <w:szCs w:val="44"/>
    </w:rPr>
  </w:style>
  <w:style w:type="paragraph" w:styleId="3">
    <w:name w:val="heading 2"/>
    <w:basedOn w:val="1"/>
    <w:next w:val="1"/>
    <w:link w:val="20"/>
    <w:unhideWhenUsed/>
    <w:qFormat/>
    <w:uiPriority w:val="9"/>
    <w:pPr>
      <w:keepNext/>
      <w:keepLines/>
      <w:numPr>
        <w:ilvl w:val="1"/>
        <w:numId w:val="1"/>
      </w:numPr>
      <w:spacing w:after="50" w:afterLines="50"/>
      <w:ind w:left="0" w:firstLine="0" w:firstLineChars="0"/>
      <w:jc w:val="left"/>
      <w:outlineLvl w:val="1"/>
    </w:pPr>
    <w:rPr>
      <w:rFonts w:ascii="黑体" w:hAnsi="黑体" w:eastAsia="黑体" w:cstheme="majorBidi"/>
      <w:bCs/>
      <w:szCs w:val="32"/>
    </w:rPr>
  </w:style>
  <w:style w:type="paragraph" w:styleId="4">
    <w:name w:val="heading 3"/>
    <w:basedOn w:val="1"/>
    <w:next w:val="1"/>
    <w:link w:val="21"/>
    <w:unhideWhenUsed/>
    <w:qFormat/>
    <w:uiPriority w:val="9"/>
    <w:pPr>
      <w:keepNext/>
      <w:keepLines/>
      <w:numPr>
        <w:ilvl w:val="2"/>
        <w:numId w:val="1"/>
      </w:numPr>
      <w:ind w:left="0" w:firstLine="0" w:firstLineChars="0"/>
      <w:jc w:val="left"/>
      <w:outlineLvl w:val="2"/>
    </w:pPr>
    <w:rPr>
      <w:rFonts w:ascii="黑体" w:hAnsi="黑体" w:eastAsia="黑体"/>
      <w:bCs/>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toc 3"/>
    <w:basedOn w:val="1"/>
    <w:next w:val="1"/>
    <w:autoRedefine/>
    <w:unhideWhenUsed/>
    <w:uiPriority w:val="39"/>
    <w:pPr>
      <w:ind w:left="840" w:leftChars="400"/>
    </w:pPr>
  </w:style>
  <w:style w:type="paragraph" w:styleId="6">
    <w:name w:val="Balloon Text"/>
    <w:basedOn w:val="1"/>
    <w:link w:val="26"/>
    <w:semiHidden/>
    <w:unhideWhenUsed/>
    <w:qFormat/>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style>
  <w:style w:type="paragraph" w:styleId="10">
    <w:name w:val="toc 2"/>
    <w:basedOn w:val="1"/>
    <w:next w:val="1"/>
    <w:autoRedefine/>
    <w:unhideWhenUsed/>
    <w:qFormat/>
    <w:uiPriority w:val="39"/>
    <w:pPr>
      <w:ind w:left="420" w:leftChars="200"/>
    </w:pPr>
  </w:style>
  <w:style w:type="paragraph" w:styleId="11">
    <w:name w:val="Normal (Web)"/>
    <w:basedOn w:val="1"/>
    <w:semiHidden/>
    <w:unhideWhenUsed/>
    <w:uiPriority w:val="99"/>
    <w:pPr>
      <w:widowControl/>
      <w:spacing w:before="100" w:beforeAutospacing="1" w:after="100" w:afterAutospacing="1"/>
      <w:ind w:firstLine="0" w:firstLineChars="0"/>
      <w:jc w:val="left"/>
    </w:pPr>
    <w:rPr>
      <w:rFonts w:ascii="宋体" w:hAnsi="宋体" w:cs="宋体"/>
      <w:kern w:val="0"/>
      <w:szCs w:val="24"/>
    </w:r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页眉 字符"/>
    <w:basedOn w:val="14"/>
    <w:link w:val="8"/>
    <w:qFormat/>
    <w:uiPriority w:val="99"/>
    <w:rPr>
      <w:sz w:val="18"/>
      <w:szCs w:val="18"/>
    </w:rPr>
  </w:style>
  <w:style w:type="character" w:customStyle="1" w:styleId="18">
    <w:name w:val="页脚 字符"/>
    <w:basedOn w:val="14"/>
    <w:link w:val="7"/>
    <w:qFormat/>
    <w:uiPriority w:val="99"/>
    <w:rPr>
      <w:sz w:val="18"/>
      <w:szCs w:val="18"/>
    </w:rPr>
  </w:style>
  <w:style w:type="character" w:customStyle="1" w:styleId="19">
    <w:name w:val="标题 1 字符"/>
    <w:basedOn w:val="14"/>
    <w:link w:val="2"/>
    <w:qFormat/>
    <w:uiPriority w:val="9"/>
    <w:rPr>
      <w:rFonts w:ascii="黑体" w:hAnsi="黑体" w:eastAsia="黑体"/>
      <w:bCs/>
      <w:kern w:val="44"/>
      <w:sz w:val="28"/>
      <w:szCs w:val="44"/>
    </w:rPr>
  </w:style>
  <w:style w:type="character" w:customStyle="1" w:styleId="20">
    <w:name w:val="标题 2 字符"/>
    <w:basedOn w:val="14"/>
    <w:link w:val="3"/>
    <w:qFormat/>
    <w:uiPriority w:val="9"/>
    <w:rPr>
      <w:rFonts w:ascii="黑体" w:hAnsi="黑体" w:eastAsia="黑体" w:cstheme="majorBidi"/>
      <w:bCs/>
      <w:sz w:val="24"/>
      <w:szCs w:val="32"/>
    </w:rPr>
  </w:style>
  <w:style w:type="character" w:customStyle="1" w:styleId="21">
    <w:name w:val="标题 3 字符"/>
    <w:basedOn w:val="14"/>
    <w:link w:val="4"/>
    <w:qFormat/>
    <w:uiPriority w:val="9"/>
    <w:rPr>
      <w:rFonts w:ascii="黑体" w:hAnsi="黑体" w:eastAsia="黑体"/>
      <w:bCs/>
      <w:sz w:val="24"/>
      <w:szCs w:val="32"/>
    </w:rPr>
  </w:style>
  <w:style w:type="paragraph" w:styleId="22">
    <w:name w:val="List Paragraph"/>
    <w:basedOn w:val="1"/>
    <w:qFormat/>
    <w:uiPriority w:val="34"/>
    <w:pPr>
      <w:ind w:firstLine="420"/>
    </w:pPr>
  </w:style>
  <w:style w:type="paragraph" w:customStyle="1" w:styleId="23">
    <w:name w:val="图表标题"/>
    <w:basedOn w:val="1"/>
    <w:next w:val="1"/>
    <w:qFormat/>
    <w:uiPriority w:val="0"/>
    <w:pPr>
      <w:ind w:firstLine="0" w:firstLineChars="0"/>
      <w:jc w:val="center"/>
    </w:pPr>
    <w:rPr>
      <w:b/>
      <w:sz w:val="21"/>
      <w:szCs w:val="21"/>
    </w:rPr>
  </w:style>
  <w:style w:type="character" w:customStyle="1" w:styleId="24">
    <w:name w:val="未处理的提及1"/>
    <w:basedOn w:val="14"/>
    <w:semiHidden/>
    <w:unhideWhenUsed/>
    <w:qFormat/>
    <w:uiPriority w:val="99"/>
    <w:rPr>
      <w:color w:val="605E5C"/>
      <w:shd w:val="clear" w:color="auto" w:fill="E1DFDD"/>
    </w:rPr>
  </w:style>
  <w:style w:type="paragraph" w:customStyle="1" w:styleId="25">
    <w:name w:val="Bibliography"/>
    <w:basedOn w:val="1"/>
    <w:next w:val="1"/>
    <w:unhideWhenUsed/>
    <w:qFormat/>
    <w:uiPriority w:val="37"/>
  </w:style>
  <w:style w:type="character" w:customStyle="1" w:styleId="26">
    <w:name w:val="批注框文本 字符"/>
    <w:basedOn w:val="14"/>
    <w:link w:val="6"/>
    <w:semiHidden/>
    <w:qFormat/>
    <w:uiPriority w:val="99"/>
    <w:rPr>
      <w:rFonts w:ascii="Times New Roman" w:hAnsi="Times New Roman" w:eastAsia="宋体"/>
      <w:sz w:val="18"/>
      <w:szCs w:val="18"/>
    </w:rPr>
  </w:style>
  <w:style w:type="table" w:customStyle="1" w:styleId="27">
    <w:name w:val="三线表"/>
    <w:basedOn w:val="12"/>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8">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styleId="29">
    <w:name w:val="Placeholder Text"/>
    <w:basedOn w:val="14"/>
    <w:semiHidden/>
    <w:qFormat/>
    <w:uiPriority w:val="99"/>
    <w:rPr>
      <w:color w:val="808080"/>
    </w:rPr>
  </w:style>
  <w:style w:type="character" w:customStyle="1" w:styleId="30">
    <w:name w:val="AMEquationSection"/>
    <w:basedOn w:val="14"/>
    <w:qFormat/>
    <w:uiPriority w:val="0"/>
    <w:rPr>
      <w:rFonts w:ascii="黑体" w:hAnsi="黑体" w:eastAsia="黑体"/>
      <w:color w:val="FF0000"/>
      <w:sz w:val="32"/>
      <w:szCs w:val="32"/>
    </w:rPr>
  </w:style>
  <w:style w:type="paragraph" w:customStyle="1" w:styleId="31">
    <w:name w:val="AMDisplayEquation"/>
    <w:basedOn w:val="2"/>
    <w:next w:val="1"/>
    <w:link w:val="32"/>
    <w:qFormat/>
    <w:uiPriority w:val="0"/>
    <w:pPr>
      <w:tabs>
        <w:tab w:val="center" w:pos="4420"/>
        <w:tab w:val="right" w:pos="8840"/>
      </w:tabs>
    </w:pPr>
    <w:rPr>
      <w:color w:val="FF0000"/>
    </w:rPr>
  </w:style>
  <w:style w:type="character" w:customStyle="1" w:styleId="32">
    <w:name w:val="AMDisplayEquation 字符"/>
    <w:basedOn w:val="14"/>
    <w:link w:val="31"/>
    <w:qFormat/>
    <w:uiPriority w:val="0"/>
    <w:rPr>
      <w:rFonts w:ascii="黑体" w:hAnsi="黑体" w:eastAsia="黑体"/>
      <w:bCs/>
      <w:color w:val="FF0000"/>
      <w:kern w:val="44"/>
      <w:sz w:val="28"/>
      <w:szCs w:val="44"/>
    </w:rPr>
  </w:style>
  <w:style w:type="paragraph" w:customStyle="1" w:styleId="33">
    <w:name w:val="EndNote Bibliography Title"/>
    <w:basedOn w:val="1"/>
    <w:link w:val="34"/>
    <w:qFormat/>
    <w:uiPriority w:val="0"/>
    <w:pPr>
      <w:jc w:val="center"/>
    </w:pPr>
    <w:rPr>
      <w:rFonts w:cs="Times New Roman"/>
    </w:rPr>
  </w:style>
  <w:style w:type="character" w:customStyle="1" w:styleId="34">
    <w:name w:val="EndNote Bibliography Title 字符"/>
    <w:basedOn w:val="14"/>
    <w:link w:val="33"/>
    <w:qFormat/>
    <w:uiPriority w:val="0"/>
    <w:rPr>
      <w:rFonts w:ascii="Times New Roman" w:hAnsi="Times New Roman" w:eastAsia="宋体" w:cs="Times New Roman"/>
      <w:sz w:val="24"/>
    </w:rPr>
  </w:style>
  <w:style w:type="paragraph" w:customStyle="1" w:styleId="35">
    <w:name w:val="EndNote Bibliography"/>
    <w:basedOn w:val="1"/>
    <w:link w:val="36"/>
    <w:qFormat/>
    <w:uiPriority w:val="0"/>
    <w:rPr>
      <w:rFonts w:cs="Times New Roman"/>
    </w:rPr>
  </w:style>
  <w:style w:type="character" w:customStyle="1" w:styleId="36">
    <w:name w:val="EndNote Bibliography 字符"/>
    <w:basedOn w:val="14"/>
    <w:link w:val="35"/>
    <w:qFormat/>
    <w:uiPriority w:val="0"/>
    <w:rPr>
      <w:rFonts w:ascii="Times New Roman" w:hAnsi="Times New Roman" w:eastAsia="宋体" w:cs="Times New Roman"/>
      <w:sz w:val="24"/>
    </w:rPr>
  </w:style>
  <w:style w:type="character" w:customStyle="1" w:styleId="37">
    <w:name w:val="Unresolved Mention"/>
    <w:basedOn w:val="14"/>
    <w:semiHidden/>
    <w:unhideWhenUsed/>
    <w:qFormat/>
    <w:uiPriority w:val="99"/>
    <w:rPr>
      <w:color w:val="605E5C"/>
      <w:shd w:val="clear" w:color="auto" w:fill="E1DFDD"/>
    </w:rPr>
  </w:style>
  <w:style w:type="character" w:customStyle="1" w:styleId="38">
    <w:name w:val="tit"/>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wmf"/><Relationship Id="rId25" Type="http://schemas.openxmlformats.org/officeDocument/2006/relationships/image" Target="media/image14.wmf"/><Relationship Id="rId24" Type="http://schemas.openxmlformats.org/officeDocument/2006/relationships/image" Target="media/image13.wmf"/><Relationship Id="rId23" Type="http://schemas.openxmlformats.org/officeDocument/2006/relationships/image" Target="media/image12.wmf"/><Relationship Id="rId22" Type="http://schemas.openxmlformats.org/officeDocument/2006/relationships/image" Target="media/image11.wmf"/><Relationship Id="rId21" Type="http://schemas.openxmlformats.org/officeDocument/2006/relationships/image" Target="media/image10.wmf"/><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image" Target="media/image7.wmf"/><Relationship Id="rId17" Type="http://schemas.openxmlformats.org/officeDocument/2006/relationships/image" Target="media/image6.wmf"/><Relationship Id="rId16" Type="http://schemas.openxmlformats.org/officeDocument/2006/relationships/image" Target="media/image5.wmf"/><Relationship Id="rId15" Type="http://schemas.openxmlformats.org/officeDocument/2006/relationships/image" Target="media/image4.wmf"/><Relationship Id="rId14" Type="http://schemas.openxmlformats.org/officeDocument/2006/relationships/image" Target="media/image3.wmf"/><Relationship Id="rId13" Type="http://schemas.openxmlformats.org/officeDocument/2006/relationships/image" Target="media/image2.wmf"/><Relationship Id="rId12" Type="http://schemas.openxmlformats.org/officeDocument/2006/relationships/image" Target="media/image1.w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3057</Words>
  <Characters>3222</Characters>
  <Lines>26</Lines>
  <Paragraphs>7</Paragraphs>
  <TotalTime>3</TotalTime>
  <ScaleCrop>false</ScaleCrop>
  <LinksUpToDate>false</LinksUpToDate>
  <CharactersWithSpaces>3249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talentedabc</cp:lastModifiedBy>
  <cp:lastPrinted>2020-11-30T03:40:00Z</cp:lastPrinted>
  <dcterms:modified xsi:type="dcterms:W3CDTF">2026-08-02T15:51:02Z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eyJoZGlkIjoiZjYwYzI1Njg2MzQxODhlMmFlNTM0YWU3NTY4ZWZkMDIiLCJ1c2VySWQiOiI1MDc0MDU0NDYifQ==</vt:lpwstr>
  </property>
  <property fmtid="{D5CDD505-2E9C-101B-9397-08002B2CF9AE}" pid="8" name="KSOProductBuildVer">
    <vt:lpwstr>2052-12.1.0.24034</vt:lpwstr>
  </property>
  <property fmtid="{D5CDD505-2E9C-101B-9397-08002B2CF9AE}" pid="9" name="ICV">
    <vt:lpwstr>7AA14453702F4F0BB541182CC55AAD1F_12</vt:lpwstr>
  </property>
</Properties>
</file>