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Story</w:t>
      </w:r>
    </w:p>
    <w:p w:rsidR="00000000" w:rsidDel="00000000" w:rsidP="00000000" w:rsidRDefault="00000000" w:rsidRPr="00000000">
      <w:pPr>
        <w:contextualSpacing w:val="0"/>
      </w:pPr>
      <w:r w:rsidDel="00000000" w:rsidR="00000000" w:rsidRPr="00000000">
        <w:rPr>
          <w:rtl w:val="0"/>
        </w:rPr>
        <w:t xml:space="preserve">The 3D Design students have been boasting about how they can trade sensitive information without anyone ever knowing. You’ve intercepted one of their USB’s and found this interesting file. Figure out what the hell is going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blender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Import the .obj file with blender under File &gt; Import &gt; .obj</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Move the stegosaurus model to the side.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flag isn’t oriented right, use the numpad to orient your view so you can see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Flag is: RC3-2016-St3GG3rz</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