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A1通知预实验程序开发需求说明</w:t>
      </w:r>
    </w:p>
    <w:p>
      <w:pPr>
        <w:pStyle w:val="Subtitle"/>
      </w:pPr>
      <w:r>
        <w:t>V0.9｜面向 Codex／工程开发｜静止听觉2-back端到端优先，移动状态通过同一事件协议接入</w:t>
      </w:r>
    </w:p>
    <w:p>
      <w:pPr>
        <w:pStyle w:val="SmallNote"/>
      </w:pPr>
      <w:r>
        <w:t>版本属性：供开发实现与Pilot验收的候选需求，不代表现有程序已实现或正式方案冻结。所有秒数、响应规则、问卷频率可配置，实际默认值在Pilot后锁定。</w:t>
      </w:r>
    </w:p>
    <w:p>
      <w:pPr>
        <w:pStyle w:val="Heading1"/>
      </w:pPr>
      <w:r>
        <w:t>1. 目标、交付与优先级</w:t>
      </w:r>
    </w:p>
    <w:p>
      <w:r>
        <w:t>开发一套能够让主任务持续运行、按预定相位呈现1—2行OST通知、记录前/中/后主任务逐项表现、在恢复窗结束后提问并记录主观负荷的实验框架。主要交付的是可重放的事件日志，不仅是一份每轮汇总CSV。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9"/>
        <w:gridCol w:w="3129"/>
        <w:gridCol w:w="3129"/>
      </w:tblGrid>
      <w:tr>
        <w:trPr>
          <w:tblHeader w:val="true"/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优先级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模块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验收可见结果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P0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听觉2-back＋通知时序状态机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不因通知显示/隐藏而暂停声音、目标序列或计时。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P0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材料读取与布局校验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支持真实材料表；一行/两行直接显示不拆开重排到错误行；溢出阻止正式运行。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P0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事件级日志/导出/中断恢复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原始2-back声音/响应与通知时间戳完整关联；可人工重算所有统计。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P0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理解问答与伪通知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有标准答案；无通知条件模拟同一时点且不出现通知和问题。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P1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移动视觉主任务适配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遵循相同event/condition格式，由独立模块负责步行目标事件和安全记录。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P1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Raw NASA-TLX、简短主观题与后台质控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可按单轮/4轮切换频率，导出完整维度与时间。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P2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自由复述录音/转写、实时趋势图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可在额外校准块使用，不影响正式事件定时。</w:t>
            </w:r>
          </w:p>
        </w:tc>
      </w:tr>
    </w:tbl>
    <w:p>
      <w:pPr>
        <w:spacing w:after="0"/>
      </w:pPr>
    </w:p>
    <w:p>
      <w:pPr>
        <w:pStyle w:val="Heading1"/>
      </w:pPr>
      <w:r>
        <w:t>2. 三层架构与跨设备原则</w:t>
      </w:r>
    </w:p>
    <w:p>
      <w:pPr>
        <w:ind w:left="255"/>
      </w:pPr>
      <w:r>
        <w:t>•  控制台（PC）：实验配置、匿名ID、随机种子、素材校验、试次编排、2-back音频与响应、问卷、日志；不在渲染循环内执行阻塞写盘。</w:t>
      </w:r>
    </w:p>
    <w:p>
      <w:pPr>
        <w:ind w:left="255"/>
      </w:pPr>
      <w:r>
        <w:t>•  眼镜端：接收“显示/隐藏通知”事件，仅负责文字卡片的真实时间渲染，并回传actual_render_on / actual_render_off及错误；设备渲染规格使用既有F0基线参数或显式版本号。</w:t>
      </w:r>
    </w:p>
    <w:p>
      <w:pPr>
        <w:ind w:left="255"/>
      </w:pPr>
      <w:r>
        <w:t>•  移动任务端（可选）：生成前方target/non-target事件、判定反应，按统一单调时钟/偏移写入日志；如尚无实现必须明确显示“未接入”，不能自动用2-back数据冒充。</w:t>
      </w:r>
    </w:p>
    <w:p>
      <w:pPr>
        <w:ind w:left="255"/>
      </w:pPr>
      <w:r>
        <w:t>•  全部模块共享participant_id、session_id、block_id、trial_id、event_id、protocol_version、config_hash；每次启动记录软硬件版本。</w:t>
      </w:r>
    </w:p>
    <w:p>
      <w:pPr>
        <w:pStyle w:val="Heading1"/>
      </w:pPr>
      <w:r>
        <w:t>3. 固定的状态机与时间规则</w:t>
      </w:r>
    </w:p>
    <w:p>
      <w:r>
        <w:t>大Trial状态顺序：READY → PRE_TASK → NOTIF_VISIBLE（或SHAM_MARKER） → POST_TASK → PRIMARY_TASK_STOP → PROBE（通知组） → SHORT_RATING → COMMIT → BREAK/NEXT。任何阶段异常必须形成ERROR日志，不能静默跳过、删改既往数据。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9"/>
        <w:gridCol w:w="3129"/>
        <w:gridCol w:w="3129"/>
      </w:tblGrid>
      <w:tr>
        <w:trPr>
          <w:tblHeader w:val="true"/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事件/状态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默认候选值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具体规则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TASK_START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t=0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生成完整2-back刺激序列；固定SOA=2500 ms、voice≈500 ms。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WARMUP_END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t=10 s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前两刺激步标记unscored；0—10秒整体不作局部Pre主分析。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OST_SCHEDULE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t=45/50/55 s候选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保证Pre有效窗口；通知锁相到最近满足规则的刺激后0.8s（保留实际偏移）。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OST_ON → OST_OFF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默认8 s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以眼镜实际可见起止为准；同一试次最多出现一次；无声、不因2-back打断而重绘。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POST_OBSERVATION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实际OFF后50 s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持续2-back声音与响应；结束前绝不提前显示问题。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TASK_STOP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下一完整声音步边界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边界跨越响应按预定义宽限完成/超时，再停止主任务。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PROBE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TASK_STOP后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通知条件展示一题、记录题型、答案、RT；无通知对照跳过。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SHORT_RATING / TLX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每轮2题；每4轮Raw TLX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所有问卷只在TASK_STOP后显示；不得污染Post窗。</w:t>
            </w:r>
          </w:p>
        </w:tc>
      </w:tr>
    </w:tbl>
    <w:p>
      <w:pPr>
        <w:spacing w:after="0"/>
      </w:pPr>
    </w:p>
    <w:p>
      <w:r>
        <w:t>时钟规则：使用程序的monotonic高精度时间控制事件，不以setInterval累计次数推算应发生的绝对时刻。分别记录planned_time、dispatch_time、device_render_time、ack_time。导出CSV时仍保留原始单调毫秒时间和实验UTC起始映射。无法回执实际渲染时字段置空且标记QC，不得使用计划时间冒充真实曝光时间。</w:t>
      </w:r>
    </w:p>
    <w:p>
      <w:pPr>
        <w:pStyle w:val="Heading1"/>
      </w:pPr>
      <w:r>
        <w:t>4. 2-back刺激生成与响应</w:t>
      </w:r>
    </w:p>
    <w:p>
      <w:pPr>
        <w:ind w:left="255"/>
      </w:pPr>
      <w:r>
        <w:t>•  支持auditory_2back mode；字母/数字音频预加载，序列一次性根据random_seed生成，正式开始后禁止动态改变SOA。</w:t>
      </w:r>
    </w:p>
    <w:p>
      <w:pPr>
        <w:ind w:left="255"/>
      </w:pPr>
      <w:r>
        <w:t>•  对每个合法stimulus_index≥2，计算match=(当前项目==前两项目)，匹配占比候选25%—35%；分段Pre/During/Post尽量分布均衡，并记录1-back/3-back诱饵及相邻重复。</w:t>
      </w:r>
    </w:p>
    <w:p>
      <w:pPr>
        <w:ind w:left="255"/>
      </w:pPr>
      <w:r>
        <w:t>•  默认建议每步“双选键”：匹配与不匹配均需明确按键；key_map可配，收到第一次有效键判分，重复键或跨事件晚到键记录但不改变答案。</w:t>
      </w:r>
    </w:p>
    <w:p>
      <w:pPr>
        <w:ind w:left="255"/>
      </w:pPr>
      <w:r>
        <w:t>•  如果直接复用已有go/no-go 2-back，response_mode=target_only并采用命中/漏报/虚警/正确拒绝定义，决不把缺按键直接等同全部正确。</w:t>
      </w:r>
    </w:p>
    <w:p>
      <w:pPr>
        <w:ind w:left="255"/>
      </w:pPr>
      <w:r>
        <w:t>•  正式通知可见时2-back始终继续；研究者不得通过“按已读键”让通知提前消失或阻断原主任务；否则变成自定阅读时长的另一套设计。</w:t>
      </w:r>
    </w:p>
    <w:p>
      <w:pPr>
        <w:ind w:left="255"/>
      </w:pPr>
      <w:r>
        <w:t>•  原生2-back在每个大Trial重置前两步不评分，试次间序列和刺激类别受限随机。</w:t>
      </w:r>
    </w:p>
    <w:p>
      <w:pPr>
        <w:pStyle w:val="Heading1"/>
      </w:pPr>
      <w:r>
        <w:t>5. 通知材料结构与排版</w:t>
      </w:r>
    </w:p>
    <w:p>
      <w:r>
        <w:t>材料使用UTF-8 CSV/JSON读取；至少包含材料ID、业务类别、真实案例来源编号/改写溯源、line_count、通知实际文本、format_type、char_count、n_count、n_units_json、question_id、question_type、question_text、answer_key、equivalent_answers、render_profile_id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9"/>
        <w:gridCol w:w="3129"/>
        <w:gridCol w:w="3129"/>
      </w:tblGrid>
      <w:tr>
        <w:trPr>
          <w:tblHeader w:val="true"/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字段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类型及校验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使用说明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material_id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string，唯一非空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同源改写带family_id，避免同一被试重复见到语义高度相似版本。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line_count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int：1或2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实际眼镜render后的行数必须与输入一致；不得把双行自动拆为两张卡。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text_lines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1或2元素字符串数组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可以逐行精确控制行断点；如为自然换行方案另标wrap_mode。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format_type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continuous / structured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控制文案连续表述或标题字段排布，不与行数混用。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n_count / n_units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int＋JSON数组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只用当前细粒度N编码V1.3.2，保留目标N及每项文本值。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question_id / answer_key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非空，唯一答案或接受答案列表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问答程序必须知道目标信息点、四选一选项/短答案及评分规则。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visual_profile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版本对象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记录设备坐标/字号/字体/行高/亮度/色彩/文字框，重现真实呈现。</w:t>
            </w:r>
          </w:p>
        </w:tc>
      </w:tr>
    </w:tbl>
    <w:p>
      <w:pPr>
        <w:spacing w:after="0"/>
      </w:pPr>
    </w:p>
    <w:p>
      <w:r>
        <w:t>版面规则：仅文字是A1主要语义负荷；若有固定图标、来源标签或标题，必须记是否包含语义、是否恒定。使用雷鸟X3 Pro等真实渲染端时，以设备实际分辨率、项目现行视觉基线和有效显示窗口为准；所有文本不得截断。禁止程序按材料N大小自动缩放字号。</w:t>
      </w:r>
    </w:p>
    <w:p>
      <w:pPr>
        <w:pStyle w:val="Heading1"/>
      </w:pPr>
      <w:r>
        <w:t>6. 编排：12通知＋4对照，不允许隐性重复</w:t>
      </w:r>
    </w:p>
    <w:p>
      <w:r>
        <w:t>以两个状态Q2/Q4 × 两个行数等级 × 每格3条不同通知=12条；每种状态再加2条sham，对照无视觉通知。最终每位参与者16个大Trial。系统可让研究者选择只运行Q2（6通知＋2对照），用于第一轮联调。</w:t>
      </w:r>
    </w:p>
    <w:p>
      <w:pPr>
        <w:ind w:left="255"/>
      </w:pPr>
      <w:r>
        <w:t>•  受限随机：同类通知不超过2条连续；sham不全放首末；连续同源family_id不得挨近；每格3条保持材料难度分布相近。</w:t>
      </w:r>
    </w:p>
    <w:p>
      <w:pPr>
        <w:ind w:left="255"/>
      </w:pPr>
      <w:r>
        <w:t>•  平衡类别：日程、设备系统在各行数与状态的分布尽量均衡；无法完全平衡时导出分配矩阵并按预注册规则分析。</w:t>
      </w:r>
    </w:p>
    <w:p>
      <w:pPr>
        <w:ind w:left="255"/>
      </w:pPr>
      <w:r>
        <w:t>•  试次块建议4个Trial一组；每块后主观Raw TLX、强制休息；如移动/静止设备切换需按状态分块，并在被试间平衡两状态块顺序。</w:t>
      </w:r>
    </w:p>
    <w:p>
      <w:pPr>
        <w:ind w:left="255"/>
      </w:pPr>
      <w:r>
        <w:t>•  生成计划必须校验每trial只有一个material或sham，所有题/答案齐全、没有材料重复、随机种子可重现；开测前输出trial_plan.csv。</w:t>
      </w:r>
    </w:p>
    <w:p>
      <w:pPr>
        <w:pStyle w:val="Heading1"/>
      </w:pPr>
      <w:r>
        <w:t>7. 事件级日志——不可省略的字段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9"/>
        <w:gridCol w:w="3129"/>
        <w:gridCol w:w="3129"/>
      </w:tblGrid>
      <w:tr>
        <w:trPr>
          <w:tblHeader w:val="true"/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导出文件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每行代表什么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trial_plan.csv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设计计划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participant_id,trial_id,condition,state,line_count,material_id,sham,seed,planned_ost_on,expected_duration,config_hash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events.jsonl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实际发生的所有事件（权威源）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event_id,event_type,trial_id,monotonic_ms,wallclock_iso,source_device,planned_ms,actual_ms,payload,qc_code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primary_items.csv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每一个2-back/移动主任务刺激步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stimulus_id,index,onset_ms,content,is_target,actual_response,response_ms,rt_ms,correct,timeout,relative_to_ost_ms,window_label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notifications.csv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每条通知显示/隐藏记录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material_id,planned_on,actual_on,planned_off,actual_off,visible_duration_ms,phase_in_2back_ms,render_qc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probes.csv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理解/复述记录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question_id,type,shown_ms,answer_ms,answer_raw,answer_normalized,correct,score,n_target_ids,delay_from_ost_off_ms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ratings.csv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每轮短题与分组RTLX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trial_id,block_id,item_id,item_scale,rating,answer_ms,scope_start_trial,scope_end_trial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session_qc.json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会话质量摘要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dropped_events,missed_audio,late_render,unscored_count,duplicate_materials,invalid_trials,resume_count,device_versions</w:t>
            </w:r>
          </w:p>
        </w:tc>
      </w:tr>
    </w:tbl>
    <w:p>
      <w:pPr>
        <w:spacing w:after="0"/>
      </w:pPr>
    </w:p>
    <w:p>
      <w:r>
        <w:t>事件窗口划分由分析阶段根据“实际眼镜出现/消失”计算，不在采集时只留下一个pre_accuracy与post_accuracy。对声音已开始但应答窗口跨过OST边界的事件设window_label=boundary，单独记载并执行预设归类/剔除规则。</w:t>
      </w:r>
    </w:p>
    <w:p>
      <w:pPr>
        <w:pStyle w:val="Heading1"/>
      </w:pPr>
      <w:r>
        <w:t>8. 核心分析指标与公式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9"/>
        <w:gridCol w:w="3129"/>
        <w:gridCol w:w="3129"/>
      </w:tblGrid>
      <w:tr>
        <w:trPr>
          <w:tblHeader w:val="true"/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指标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计算与边界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通知核验率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correct_probe / valid_probe；分业务类别、行数、状态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一题≠整条信息全部掌握；抽测N须记录。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2-back准确率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双键：各窗口correct/eligible；单键：命中率、虚警率、d′等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单窗口目标事件少，必须以跨trial/被试估计为主。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响应时RT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首次有效响应−声音刺激实际播放起点；仅有效项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未响应不记RT=0；排除错误/极值标准预先指定。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通知增量代价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(Post−Pre)通知−(Post−Pre)sham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每一状态/时序窗口匹配，不把时间趋势归因给通知。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恢复轨迹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OST_OFF后0—10、10—25、25—50 s各段及整体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不能将低事件数的微小变化解释为确定恢复时间。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通知延迟测量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probe_shown_ms−actual_ost_off_ms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必须写入报告；不同延迟不能叫完全等价的即时理解。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RTLX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六维原分值及其Raw平均；与简短2题单独保存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只在对应scope评估任务，不对秒级段内推断负荷。</w:t>
            </w:r>
          </w:p>
        </w:tc>
      </w:tr>
    </w:tbl>
    <w:p>
      <w:pPr>
        <w:spacing w:after="0"/>
      </w:pPr>
    </w:p>
    <w:p>
      <w:pPr>
        <w:pStyle w:val="Heading1"/>
      </w:pPr>
      <w:r>
        <w:t>9. 研究者操作界面与问卷行为</w:t>
      </w:r>
    </w:p>
    <w:p>
      <w:pPr>
        <w:ind w:left="255"/>
      </w:pPr>
      <w:r>
        <w:t>•  开测页：participant_id、设备、研究状态（Q2/Q4/all）、材料版本、视觉版本、random_seed、音量试播、显示联通检查。</w:t>
      </w:r>
    </w:p>
    <w:p>
      <w:pPr>
        <w:ind w:left="255"/>
      </w:pPr>
      <w:r>
        <w:t>•  练习页：单通道2-back规则、双键反馈练习、理解题练习、结束后合格判定；正式阶段不反馈正误。</w:t>
      </w:r>
    </w:p>
    <w:p>
      <w:pPr>
        <w:ind w:left="255"/>
      </w:pPr>
      <w:r>
        <w:t>•  运行页：仅研究者可见trial序号与音频/眼镜联机、锁定的下一事件；被试眼镜只见通知，不出现“几秒后提示”等预测线索。</w:t>
      </w:r>
    </w:p>
    <w:p>
      <w:pPr>
        <w:ind w:left="255"/>
      </w:pPr>
      <w:r>
        <w:t>•  试次末：对通知试次问一个标准内容题，随后短题“刚才消息理解有多困难？0完全不困难—10极困难”和“刚才消息干扰主任务程度？0无—10极大”。</w:t>
      </w:r>
    </w:p>
    <w:p>
      <w:pPr>
        <w:ind w:left="255"/>
      </w:pPr>
      <w:r>
        <w:t>•  每4轮：六维Raw NASA-TLX；支持按Trial启用完整版开关，但默认不重复96条量表条目；题目、量尺、语言全部固定版本。</w:t>
      </w:r>
    </w:p>
    <w:p>
      <w:pPr>
        <w:ind w:left="255"/>
      </w:pPr>
      <w:r>
        <w:t>•  可选复述：单独启用RECALL_CALIBRATION，要求在任务停止后录音/键入，保存原始语音/文本与N盲评编码；不得与普通单题混入同一主数据指标。</w:t>
      </w:r>
    </w:p>
    <w:p>
      <w:pPr>
        <w:pStyle w:val="Heading1"/>
      </w:pPr>
      <w:r>
        <w:t>10. 异常和终止处理</w:t>
      </w:r>
    </w:p>
    <w:p>
      <w:pPr>
        <w:ind w:left="255"/>
      </w:pPr>
      <w:r>
        <w:t>•  眼镜断联或渲染确认迟到：立刻打render_fail；如无法确认真实可见窗口，该trial标invalid_ost_timing并保留全部原始事件。</w:t>
      </w:r>
    </w:p>
    <w:p>
      <w:pPr>
        <w:ind w:left="255"/>
      </w:pPr>
      <w:r>
        <w:t>•  声音掉帧、浏览器切后台、按键冲突、任务被意外暂停：标音频时序错误；不得把缺失反应算成被试失误。</w:t>
      </w:r>
    </w:p>
    <w:p>
      <w:pPr>
        <w:ind w:left="255"/>
      </w:pPr>
      <w:r>
        <w:t>•  中途暂停只能发生在大Trial边界；进入Trial后如用户不适/移动安全风险，紧急终止并保留partial和安全标记，不自动续上假装连续数据。</w:t>
      </w:r>
    </w:p>
    <w:p>
      <w:pPr>
        <w:ind w:left="255"/>
      </w:pPr>
      <w:r>
        <w:t>•  同一被试重开：只能从尚未完成的下一个Trial恢复；已完成trial保存不可覆盖；重跑则新trial_attempt_id。</w:t>
      </w:r>
    </w:p>
    <w:p>
      <w:pPr>
        <w:ind w:left="255"/>
      </w:pPr>
      <w:r>
        <w:t>•  禁止导出真实姓名、消息隐私内容等识别字段；按匿名参与者ID记录，日志版本留存。</w:t>
      </w:r>
    </w:p>
    <w:p>
      <w:pPr>
        <w:pStyle w:val="Heading1"/>
      </w:pPr>
      <w:r>
        <w:t>11. 最低测试集与验收断言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9"/>
        <w:gridCol w:w="3129"/>
        <w:gridCol w:w="3129"/>
      </w:tblGrid>
      <w:tr>
        <w:trPr>
          <w:tblHeader w:val="true"/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测试ID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操作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E6EEF5"/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b/>
                <w:color w:val="1D3D5A"/>
                <w:sz w:val="16"/>
              </w:rPr>
              <w:t>必须通过的结果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TC01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8秒通知覆盖多个2-back刺激步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期间声音不中断、不重启2-back；逐步RT完整。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TC02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执行sham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完全无文字出现、虚拟时点记录完整、无理解题。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TC03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一行与两行材料分别渲染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行数/字符/实际文字包围盒一致，无裁切无缩放。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TC04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注入100—300 ms显示回执延迟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actual_on≠planned_on，偏移被日志检出，恢复窗口按实际时间计算。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TC05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在通知显示中途重复按键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只按规定一次判定，冗余key事件不丢失。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TC06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主任务有0个命中/多项漏答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正确计算所有有效项，d′需要校正/数据不足标识；无除零错误。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TC07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试次跨越边界的声音与响应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标boundary，不强制填入Pre或Post。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TC08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意外退出后重启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保留已采集数据并带trial_attempt_id，不悄悄重复同材料。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TC09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运行同一种子两次编排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条件与材料序列一致；换种子可重新生成但仍满足配额。</w:t>
            </w:r>
          </w:p>
        </w:tc>
      </w:tr>
      <w:tr>
        <w:trPr>
          <w:cantSplit/>
        </w:trPr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TC10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复算一名模拟被试所有日志</w:t>
            </w:r>
          </w:p>
        </w:tc>
        <w:tc>
          <w:tcPr>
            <w:tcW w:type="dxa" w:w="3129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rFonts w:ascii="Noto Sans CJK SC" w:hAnsi="Noto Sans CJK SC"/>
                <w:sz w:val="16"/>
              </w:rPr>
              <w:t>人工从原始事件重算的正确率、RT、时段和CSV一致。</w:t>
            </w:r>
          </w:p>
        </w:tc>
      </w:tr>
    </w:tbl>
    <w:p>
      <w:pPr>
        <w:spacing w:after="0"/>
      </w:pPr>
    </w:p>
    <w:p>
      <w:pPr>
        <w:pStyle w:val="Heading1"/>
      </w:pPr>
      <w:r>
        <w:t>12. 建议配置文件（示例；需允许覆盖并记录实际值）</w:t>
      </w:r>
    </w:p>
    <w:p>
      <w:pPr>
        <w:ind w:left="227"/>
      </w:pPr>
      <w:r>
        <w:rPr>
          <w:rFonts w:ascii="DejaVu Sans Mono" w:hAnsi="DejaVu Sans Mono"/>
          <w:sz w:val="15"/>
        </w:rPr>
        <w:t>protocol_version: A1-notification-pilot-0.9</w:t>
        <w:br/>
      </w:r>
      <w:r>
        <w:rPr>
          <w:rFonts w:ascii="DejaVu Sans Mono" w:hAnsi="DejaVu Sans Mono"/>
          <w:sz w:val="15"/>
        </w:rPr>
        <w:t>mode: auditory_2back</w:t>
        <w:br/>
      </w:r>
      <w:r>
        <w:rPr>
          <w:rFonts w:ascii="DejaVu Sans Mono" w:hAnsi="DejaVu Sans Mono"/>
          <w:sz w:val="15"/>
        </w:rPr>
        <w:t>primary_response_mode: two_choice        # 或 target_only；正式采集不可混用</w:t>
        <w:br/>
      </w:r>
      <w:r>
        <w:rPr>
          <w:rFonts w:ascii="DejaVu Sans Mono" w:hAnsi="DejaVu Sans Mono"/>
          <w:sz w:val="15"/>
        </w:rPr>
        <w:t>stimulus_soa_ms: 2500</w:t>
        <w:br/>
      </w:r>
      <w:r>
        <w:rPr>
          <w:rFonts w:ascii="DejaVu Sans Mono" w:hAnsi="DejaVu Sans Mono"/>
          <w:sz w:val="15"/>
        </w:rPr>
        <w:t>stimulus_audio_ms: 500</w:t>
        <w:br/>
      </w:r>
      <w:r>
        <w:rPr>
          <w:rFonts w:ascii="DejaVu Sans Mono" w:hAnsi="DejaVu Sans Mono"/>
          <w:sz w:val="15"/>
        </w:rPr>
        <w:t>primary_warmup_ms: 10000</w:t>
        <w:br/>
      </w:r>
      <w:r>
        <w:rPr>
          <w:rFonts w:ascii="DejaVu Sans Mono" w:hAnsi="DejaVu Sans Mono"/>
          <w:sz w:val="15"/>
        </w:rPr>
        <w:t>ost_trigger_base_ms: 50000</w:t>
        <w:br/>
      </w:r>
      <w:r>
        <w:rPr>
          <w:rFonts w:ascii="DejaVu Sans Mono" w:hAnsi="DejaVu Sans Mono"/>
          <w:sz w:val="15"/>
        </w:rPr>
        <w:t>ost_trigger_jitter_levels_ms: [-5000, 0, 5000]</w:t>
        <w:br/>
      </w:r>
      <w:r>
        <w:rPr>
          <w:rFonts w:ascii="DejaVu Sans Mono" w:hAnsi="DejaVu Sans Mono"/>
          <w:sz w:val="15"/>
        </w:rPr>
        <w:t>ost_phase_after_audio_ms: 800</w:t>
        <w:br/>
      </w:r>
      <w:r>
        <w:rPr>
          <w:rFonts w:ascii="DejaVu Sans Mono" w:hAnsi="DejaVu Sans Mono"/>
          <w:sz w:val="15"/>
        </w:rPr>
        <w:t>ost_exposure_ms: 8000</w:t>
        <w:br/>
      </w:r>
      <w:r>
        <w:rPr>
          <w:rFonts w:ascii="DejaVu Sans Mono" w:hAnsi="DejaVu Sans Mono"/>
          <w:sz w:val="15"/>
        </w:rPr>
        <w:t>post_observation_ms: 50000</w:t>
        <w:br/>
      </w:r>
      <w:r>
        <w:rPr>
          <w:rFonts w:ascii="DejaVu Sans Mono" w:hAnsi="DejaVu Sans Mono"/>
          <w:sz w:val="15"/>
        </w:rPr>
        <w:t>question_timing: after_post_task        # 若测即时理解，请建立独立校准块</w:t>
        <w:br/>
      </w:r>
      <w:r>
        <w:rPr>
          <w:rFonts w:ascii="DejaVu Sans Mono" w:hAnsi="DejaVu Sans Mono"/>
          <w:sz w:val="15"/>
        </w:rPr>
        <w:t>rating_short_per_trial: true</w:t>
        <w:br/>
      </w:r>
      <w:r>
        <w:rPr>
          <w:rFonts w:ascii="DejaVu Sans Mono" w:hAnsi="DejaVu Sans Mono"/>
          <w:sz w:val="15"/>
        </w:rPr>
        <w:t>raw_tlx_every_n_trials: 4</w:t>
        <w:br/>
      </w:r>
      <w:r>
        <w:rPr>
          <w:rFonts w:ascii="DejaVu Sans Mono" w:hAnsi="DejaVu Sans Mono"/>
          <w:sz w:val="15"/>
        </w:rPr>
        <w:t>trials_per_participant:</w:t>
        <w:br/>
      </w:r>
      <w:r>
        <w:rPr>
          <w:rFonts w:ascii="DejaVu Sans Mono" w:hAnsi="DejaVu Sans Mono"/>
          <w:sz w:val="15"/>
        </w:rPr>
        <w:t xml:space="preserve">  notification: 12</w:t>
        <w:br/>
      </w:r>
      <w:r>
        <w:rPr>
          <w:rFonts w:ascii="DejaVu Sans Mono" w:hAnsi="DejaVu Sans Mono"/>
          <w:sz w:val="15"/>
        </w:rPr>
        <w:t xml:space="preserve">  sham: 4</w:t>
        <w:br/>
      </w:r>
      <w:r>
        <w:rPr>
          <w:rFonts w:ascii="DejaVu Sans Mono" w:hAnsi="DejaVu Sans Mono"/>
          <w:sz w:val="15"/>
        </w:rPr>
        <w:t xml:space="preserve">  by_state: {Q2: 8, Q4: 8}</w:t>
        <w:br/>
      </w:r>
      <w:r>
        <w:rPr>
          <w:rFonts w:ascii="DejaVu Sans Mono" w:hAnsi="DejaVu Sans Mono"/>
          <w:sz w:val="15"/>
        </w:rPr>
        <w:t>line_levels: [1, 2]</w:t>
        <w:br/>
      </w:r>
      <w:r>
        <w:rPr>
          <w:rFonts w:ascii="DejaVu Sans Mono" w:hAnsi="DejaVu Sans Mono"/>
          <w:sz w:val="15"/>
        </w:rPr>
        <w:t>seed: 20261021</w:t>
        <w:br/>
      </w:r>
      <w:r>
        <w:rPr>
          <w:rFonts w:ascii="DejaVu Sans Mono" w:hAnsi="DejaVu Sans Mono"/>
          <w:sz w:val="15"/>
        </w:rPr>
        <w:t>material_coding_version: A1-NPER-V1.3.2</w:t>
        <w:br/>
      </w:r>
    </w:p>
    <w:p>
      <w:pPr>
        <w:pStyle w:val="Heading1"/>
      </w:pPr>
      <w:r>
        <w:t>13. 开发里程碑与冻结项</w:t>
      </w:r>
    </w:p>
    <w:p>
      <w:r>
        <w:t>M1：单机模拟2-back与数据日志；M2：眼镜实际显示确认＋12＋4编排；M3：完成Q2端到端模拟与2—3人工程Pilot；M4：Q4接入和移动安全测试；M5：与研究团队联审Pilot数据，最终冻结版本。每个节点提交运行文件、示例日志、问题清单和测试记录；不需要在M1阶段实现A2空间位置研究。</w:t>
      </w:r>
    </w:p>
    <w:p>
      <w:r>
        <w:t>待确认：通知究竟研究“1行内容 vs 2行内容”还是“同文不同换行”；8秒呈现是否符合产品策略；Q4主任务系统是否可用；2-back沿用旧单键还是改双键；理解题按何种题型以及采集频率；真实眼镜端实际渲染反馈接口如何获取。以上每项均作为config/版本和风险项标出，不要用隐式默认值代替研究决策。</w:t>
      </w:r>
    </w:p>
    <w:p>
      <w:pPr>
        <w:pStyle w:val="Heading1"/>
      </w:pPr>
      <w:r>
        <w:t>工程依据与主要参考链接</w:t>
      </w:r>
    </w:p>
    <w:p>
      <w:r>
        <w:t>[R05] Adamczyk &amp; Bailey (2004). If not now, when? The effects of interruption at different moments within task execution. CHI.</w:t>
      </w:r>
    </w:p>
    <w:p>
      <w:pPr>
        <w:pStyle w:val="SmallNote"/>
      </w:pPr>
      <w:r>
        <w:t>https://doi.org/10.1145/985692.985727</w:t>
      </w:r>
    </w:p>
    <w:p>
      <w:r>
        <w:t>[R06] Iqbal &amp; Bailey (2008). Effects of intelligent notification management on users and their tasks. CHI.</w:t>
      </w:r>
    </w:p>
    <w:p>
      <w:pPr>
        <w:pStyle w:val="SmallNote"/>
      </w:pPr>
      <w:r>
        <w:t>https://doi.org/10.1145/1357054.1357070</w:t>
      </w:r>
    </w:p>
    <w:p>
      <w:r>
        <w:t>[R07] Bailey &amp; Iqbal (2008). Understanding changes in mental workload during execution of goal-directed tasks and its application for interruption management. ACM TOCHI.</w:t>
      </w:r>
    </w:p>
    <w:p>
      <w:pPr>
        <w:pStyle w:val="SmallNote"/>
      </w:pPr>
      <w:r>
        <w:t>https://doi.org/10.1145/1314683.1314689</w:t>
      </w:r>
    </w:p>
    <w:p>
      <w:r>
        <w:t>[R08] Monk, Trafton &amp; Boehm-Davis (2008). The effect of interruption duration and demand on resuming suspended goals. Journal of Experimental Psychology: Applied.</w:t>
      </w:r>
    </w:p>
    <w:p>
      <w:pPr>
        <w:pStyle w:val="SmallNote"/>
      </w:pPr>
      <w:r>
        <w:t>https://doi.org/10.1037/a0014402</w:t>
      </w:r>
    </w:p>
    <w:p>
      <w:r>
        <w:t>[R09] McCrickard et al. (2003). A model for notification systems evaluation—assessing user goals for multitasking activity. ACM TOCHI.</w:t>
      </w:r>
    </w:p>
    <w:p>
      <w:pPr>
        <w:pStyle w:val="SmallNote"/>
      </w:pPr>
      <w:r>
        <w:t>https://doi.org/10.1145/966930.966933</w:t>
      </w:r>
    </w:p>
    <w:p>
      <w:r>
        <w:t>[R10] McCrickard et al. (2003). Establishing tradeoffs that leverage attention for utility: empirically evaluating information display in notification systems. IJHCS. 文中含通知内容的多选/回忆问题。</w:t>
      </w:r>
    </w:p>
    <w:p>
      <w:pPr>
        <w:pStyle w:val="SmallNote"/>
      </w:pPr>
      <w:r>
        <w:t>https://doi.org/10.1016/S1071-5819(03)00022-3</w:t>
      </w:r>
    </w:p>
    <w:p>
      <w:r>
        <w:t>[R11] Hart (2006). NASA-TLX; 20 Years Later. Human Factors and Ergonomics Society Annual Meeting.</w:t>
      </w:r>
    </w:p>
    <w:p>
      <w:pPr>
        <w:pStyle w:val="SmallNote"/>
      </w:pPr>
      <w:r>
        <w:t>https://doi.org/10.1177/154193120605000909</w:t>
      </w:r>
    </w:p>
    <w:p>
      <w:r>
        <w:t>[R12] Eldridge et al. (2016). CONSORT extension to randomised pilot and feasibility trials. BMJ. 预实验重在可行性及进阶标准，不能按正式效应检验解释。</w:t>
      </w:r>
    </w:p>
    <w:p>
      <w:pPr>
        <w:pStyle w:val="SmallNote"/>
      </w:pPr>
      <w:r>
        <w:t>https://doi.org/10.1136/bmj.i5239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59" w:bottom="1077" w:left="1259" w:header="539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C78"/>
        <w:sz w:val="15"/>
      </w:rPr>
      <w:t xml:space="preserve">实验程序需求   |   预实验候选参数，正式采集前须冻结   |   第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C78"/>
        <w:sz w:val="16"/>
      </w:rPr>
      <w:t>A1｜通知短阅读实验  •  研究团队讨论稿  •  2026-10-21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 w:after="100"/>
    </w:pPr>
    <w:rPr>
      <w:rFonts w:ascii="Noto Sans CJK SC" w:hAnsi="Noto Sans CJK SC" w:eastAsia="Noto Sans CJK SC" w:cs="Noto Sans CJK SC"/>
      <w:b w:val="0"/>
      <w:color w:val="20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D3D5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D3D5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D3D5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D3D5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/>
      <w:i/>
      <w:iCs/>
      <w:color w:val="5F6C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93" w:lineRule="auto"/>
    </w:pPr>
    <w:rPr>
      <w:rFonts w:ascii="Noto Sans CJK SC" w:hAnsi="Noto Sans CJK SC" w:eastAsia="Noto Sans CJK SC" w:cs="Noto Sans CJK SC"/>
      <w:b w:val="0"/>
      <w:color w:val="5F6C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