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研究项目进度汇报</w:t>
      </w:r>
    </w:p>
    <w:p>
      <w:pPr>
        <w:jc w:val="center"/>
      </w:pPr>
      <w:r>
        <w:t>汇报人：学生</w:t>
        <w:br/>
        <w:t>汇报日期：2025-12-27</w:t>
        <w:br/>
      </w:r>
    </w:p>
    <w:p>
      <w:pPr>
        <w:pStyle w:val="Heading1"/>
      </w:pPr>
      <w:r>
        <w:t>1. 项目概述</w:t>
      </w:r>
    </w:p>
    <w:p>
      <w:pPr>
        <w:pStyle w:val="Heading2"/>
      </w:pPr>
      <w:r>
        <w:t>1.1 研究背景与目标</w:t>
      </w:r>
    </w:p>
    <w:p>
      <w:r>
        <w:t>本项目旨在探究“学校社会资本”对初中生教育期望的影响，特别是其在不同家庭背景（SES、户籍）学生中的“补偿效应”。核心问题是：学校教育资源能否帮助弱势家庭学生打破阶层固化，提升升学信心？</w:t>
      </w:r>
    </w:p>
    <w:p>
      <w:pPr>
        <w:pStyle w:val="Heading2"/>
      </w:pPr>
      <w:r>
        <w:t>1.2 上阶段工作回顾</w:t>
      </w:r>
    </w:p>
    <w:p>
      <w:r>
        <w:t>上次汇报后，原定计划为完成 CEPS 数据清洗并进行初步统计分析。然而，在实施过程中发现了严重的样本流失问题（N仅剩1957），因此本阶段工作的重心调整为“数据抢救与多源整合”。</w:t>
      </w:r>
    </w:p>
    <w:p>
      <w:pPr>
        <w:pStyle w:val="Heading1"/>
      </w:pPr>
      <w:r>
        <w:t>2. 当前进度汇报</w:t>
      </w:r>
    </w:p>
    <w:p>
      <w:r>
        <w:t>本阶段已完成核心数据的全量清洗与抢救工作，主要成果如下：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任务模块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具体内容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关键产出</w:t>
            </w:r>
          </w:p>
        </w:tc>
      </w:tr>
      <w:tr>
        <w:tc>
          <w:tcPr>
            <w:tcW w:type="dxa" w:w="2880"/>
          </w:tcPr>
          <w:p>
            <w:r>
              <w:t>数据抢救</w:t>
            </w:r>
          </w:p>
        </w:tc>
        <w:tc>
          <w:tcPr>
            <w:tcW w:type="dxa" w:w="2880"/>
          </w:tcPr>
          <w:p>
            <w:r>
              <w:t>诊断样本流失原因，替换高缺失率变量（跳答题-&gt;必答题）</w:t>
            </w:r>
          </w:p>
        </w:tc>
        <w:tc>
          <w:tcPr>
            <w:tcW w:type="dxa" w:w="2880"/>
          </w:tcPr>
          <w:p>
            <w:r>
              <w:t>样本量从 1957 恢复至 9763 (流失率&lt;10%)</w:t>
            </w:r>
          </w:p>
        </w:tc>
      </w:tr>
      <w:tr>
        <w:tc>
          <w:tcPr>
            <w:tcW w:type="dxa" w:w="2880"/>
          </w:tcPr>
          <w:p>
            <w:r>
              <w:t>多源整合</w:t>
            </w:r>
          </w:p>
        </w:tc>
        <w:tc>
          <w:tcPr>
            <w:tcW w:type="dxa" w:w="2880"/>
          </w:tcPr>
          <w:p>
            <w:r>
              <w:t>将家长、教师、学校数据匹配至学生主表</w:t>
            </w:r>
          </w:p>
        </w:tc>
        <w:tc>
          <w:tcPr>
            <w:tcW w:type="dxa" w:w="2880"/>
          </w:tcPr>
          <w:p>
            <w:r>
              <w:t>merged_rescued_all.csv (包含家庭收入、师资特征等)</w:t>
            </w:r>
          </w:p>
        </w:tc>
      </w:tr>
      <w:tr>
        <w:tc>
          <w:tcPr>
            <w:tcW w:type="dxa" w:w="2880"/>
          </w:tcPr>
          <w:p>
            <w:r>
              <w:t>可视化更新</w:t>
            </w:r>
          </w:p>
        </w:tc>
        <w:tc>
          <w:tcPr>
            <w:tcW w:type="dxa" w:w="2880"/>
          </w:tcPr>
          <w:p>
            <w:r>
              <w:t>基于全量样本重绘分布图与交互效应图</w:t>
            </w:r>
          </w:p>
        </w:tc>
        <w:tc>
          <w:tcPr>
            <w:tcW w:type="dxa" w:w="2880"/>
          </w:tcPr>
          <w:p>
            <w:r>
              <w:t>rescued_figures 文件夹</w:t>
            </w:r>
          </w:p>
        </w:tc>
      </w:tr>
      <w:tr>
        <w:tc>
          <w:tcPr>
            <w:tcW w:type="dxa" w:w="2880"/>
          </w:tcPr>
          <w:p>
            <w:r>
              <w:t>质量评估</w:t>
            </w:r>
          </w:p>
        </w:tc>
        <w:tc>
          <w:tcPr>
            <w:tcW w:type="dxa" w:w="2880"/>
          </w:tcPr>
          <w:p>
            <w:r>
              <w:t>完成新数据集的完整性与分布检验</w:t>
            </w:r>
          </w:p>
        </w:tc>
        <w:tc>
          <w:tcPr>
            <w:tcW w:type="dxa" w:w="2880"/>
          </w:tcPr>
          <w:p>
            <w:r>
              <w:t>Rescue_Evaluation_Report.md</w:t>
            </w:r>
          </w:p>
        </w:tc>
      </w:tr>
    </w:tbl>
    <w:p>
      <w:pPr>
        <w:pStyle w:val="Heading1"/>
      </w:pPr>
      <w:r>
        <w:t>3. 数据分析部分</w:t>
      </w:r>
    </w:p>
    <w:p>
      <w:pPr>
        <w:pStyle w:val="Heading2"/>
      </w:pPr>
      <w:r>
        <w:t>3.1 样本量与代表性修复</w:t>
      </w:r>
    </w:p>
    <w:p>
      <w:r>
        <w:t>经过变量策略调整，有效样本量显著提升，且覆盖了各户籍与成绩段学生，消除了之前的选择性偏差。</w:t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cued_expect_d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1: 修复后的教育期望分布 (样本量 N=9763)</w:t>
      </w:r>
    </w:p>
    <w:p>
      <w:r>
        <w:drawing>
          <wp:inline xmlns:a="http://schemas.openxmlformats.org/drawingml/2006/main" xmlns:pic="http://schemas.openxmlformats.org/drawingml/2006/picture">
            <wp:extent cx="5486400" cy="23513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cued_sc_d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1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2: 社会资本变量分布 (Bonding &amp; Bridging SC)</w:t>
      </w:r>
    </w:p>
    <w:p>
      <w:pPr>
        <w:pStyle w:val="Heading2"/>
      </w:pPr>
      <w:r>
        <w:t>3.2 关键发现：补偿效应初现</w:t>
      </w:r>
    </w:p>
    <w:p>
      <w:r>
        <w:t>基于近万人的大样本交互效应分析显示，师生关系对不同户籍学生的影响存在显著差异。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cued_interaction_huko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3: 师生关系对升学信心的交互效应 (分户籍)</w:t>
      </w:r>
    </w:p>
    <w:p>
      <w:r>
        <w:t>初步结论：农村户籍学生（红线）在师生关系较好时，升学信心提升的幅度大于城市学生（蓝线），这初步验证了“补偿效应”假设，即学校资源对弱势群体具有更大的边际收益。</w:t>
      </w:r>
    </w:p>
    <w:p>
      <w:pPr>
        <w:pStyle w:val="Heading1"/>
      </w:pPr>
      <w:r>
        <w:t>4. 存在问题与解决方案</w:t>
      </w:r>
    </w:p>
    <w:p>
      <w:r>
        <w:t>**问题 1：原始变量选择导致样本雪崩**</w:t>
      </w:r>
    </w:p>
    <w:p>
      <w:r>
        <w:t>原因：原计划使用的“最高学历期望”题目属于跳答题，仅非普高意愿者回答，导致80%缺失。</w:t>
      </w:r>
    </w:p>
    <w:p>
      <w:r>
        <w:t>解决：已替换为全员必答的“期望学历”题目，并重新界定了二分变量，彻底解决了此问题。</w:t>
      </w:r>
    </w:p>
    <w:p>
      <w:r>
        <w:t>**问题 2：单层模型无法处理嵌套结构**</w:t>
      </w:r>
    </w:p>
    <w:p>
      <w:r>
        <w:t>困难：学生嵌套于班级和学校，普通回归标准误不准。</w:t>
      </w:r>
    </w:p>
    <w:p>
      <w:r>
        <w:t>解决：已整合学校层级数据 (Level-2)，为下一步实施 HLM (多层线性模型) 做好了数据准备。</w:t>
      </w:r>
    </w:p>
    <w:p>
      <w:r>
        <w:t>**需要指导的事项：**</w:t>
      </w:r>
    </w:p>
    <w:p>
      <w:r>
        <w:t>1. HLM 模型中，是否建议引入“学校排名”作为跨层交互项？</w:t>
      </w:r>
    </w:p>
    <w:p>
      <w:r>
        <w:t>2. 对于家长报告的 SES 和学生自报的 SES 不一致的情况，建议以哪个为准？</w:t>
      </w:r>
    </w:p>
    <w:p>
      <w:pPr>
        <w:pStyle w:val="Heading1"/>
      </w:pPr>
      <w:r>
        <w:t>5. 下一步工作计划</w:t>
      </w:r>
    </w:p>
    <w:p>
      <w:r>
        <w:t>基于当前高质量的全量数据，下阶段将正式进入核心实证分析：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预期成果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时间节点</w:t>
            </w:r>
          </w:p>
        </w:tc>
      </w:tr>
      <w:tr>
        <w:tc>
          <w:tcPr>
            <w:tcW w:type="dxa" w:w="2880"/>
          </w:tcPr>
          <w:p>
            <w:r>
              <w:t>HLM 建模</w:t>
            </w:r>
          </w:p>
        </w:tc>
        <w:tc>
          <w:tcPr>
            <w:tcW w:type="dxa" w:w="2880"/>
          </w:tcPr>
          <w:p>
            <w:r>
              <w:t>构建两层逻辑回归模型，输出 Odds Ratios 表</w:t>
            </w:r>
          </w:p>
        </w:tc>
        <w:tc>
          <w:tcPr>
            <w:tcW w:type="dxa" w:w="2880"/>
          </w:tcPr>
          <w:p>
            <w:r>
              <w:t>T+2天</w:t>
            </w:r>
          </w:p>
        </w:tc>
      </w:tr>
      <w:tr>
        <w:tc>
          <w:tcPr>
            <w:tcW w:type="dxa" w:w="2880"/>
          </w:tcPr>
          <w:p>
            <w:r>
              <w:t>稳健性检验</w:t>
            </w:r>
          </w:p>
        </w:tc>
        <w:tc>
          <w:tcPr>
            <w:tcW w:type="dxa" w:w="2880"/>
          </w:tcPr>
          <w:p>
            <w:r>
              <w:t>使用家长 SES 替代学生 SES 重跑模型</w:t>
            </w:r>
          </w:p>
        </w:tc>
        <w:tc>
          <w:tcPr>
            <w:tcW w:type="dxa" w:w="2880"/>
          </w:tcPr>
          <w:p>
            <w:r>
              <w:t>T+3天</w:t>
            </w:r>
          </w:p>
        </w:tc>
      </w:tr>
      <w:tr>
        <w:tc>
          <w:tcPr>
            <w:tcW w:type="dxa" w:w="2880"/>
          </w:tcPr>
          <w:p>
            <w:r>
              <w:t>论文初稿</w:t>
            </w:r>
          </w:p>
        </w:tc>
        <w:tc>
          <w:tcPr>
            <w:tcW w:type="dxa" w:w="2880"/>
          </w:tcPr>
          <w:p>
            <w:r>
              <w:t>完成实证分析章节的撰写</w:t>
            </w:r>
          </w:p>
        </w:tc>
        <w:tc>
          <w:tcPr>
            <w:tcW w:type="dxa" w:w="2880"/>
          </w:tcPr>
          <w:p>
            <w:r>
              <w:t>T+5天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