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CEPS 数据分析与项目进度汇报</w:t>
      </w:r>
    </w:p>
    <w:p>
      <w:pPr>
        <w:jc w:val="center"/>
      </w:pPr>
      <w:r>
        <w:t>项目名称：学校社会资本的补偿效应研究</w:t>
        <w:br/>
        <w:t>汇报日期：2025-12-27</w:t>
        <w:br/>
      </w:r>
    </w:p>
    <w:p>
      <w:r>
        <w:br w:type="page"/>
      </w:r>
    </w:p>
    <w:p>
      <w:pPr>
        <w:pStyle w:val="Heading1"/>
      </w:pPr>
      <w:r>
        <w:t>1. 数据变量说明</w:t>
      </w:r>
    </w:p>
    <w:p>
      <w:r>
        <w:t>本研究基于 CEPS 第二轮调查数据，核心变量定义如下：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变量名称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定义/含义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计算/备注</w:t>
            </w:r>
          </w:p>
        </w:tc>
      </w:tr>
      <w:tr>
        <w:tc>
          <w:tcPr>
            <w:tcW w:type="dxa" w:w="1728"/>
          </w:tcPr>
          <w:p>
            <w:r>
              <w:t>bonding_sc_idx</w:t>
            </w:r>
          </w:p>
        </w:tc>
        <w:tc>
          <w:tcPr>
            <w:tcW w:type="dxa" w:w="1728"/>
          </w:tcPr>
          <w:p>
            <w:r>
              <w:t>纽带型社会资本（师生关系）</w:t>
            </w:r>
          </w:p>
        </w:tc>
        <w:tc>
          <w:tcPr>
            <w:tcW w:type="dxa" w:w="1728"/>
          </w:tcPr>
          <w:p>
            <w:r>
              <w:t>数值型</w:t>
            </w:r>
          </w:p>
        </w:tc>
        <w:tc>
          <w:tcPr>
            <w:tcW w:type="dxa" w:w="1728"/>
          </w:tcPr>
          <w:p>
            <w:r>
              <w:t>学生问卷</w:t>
            </w:r>
          </w:p>
        </w:tc>
        <w:tc>
          <w:tcPr>
            <w:tcW w:type="dxa" w:w="1728"/>
          </w:tcPr>
          <w:p>
            <w:r>
              <w:t>均值合成 (w2c11a, w2c09a, w2c09b)</w:t>
            </w:r>
          </w:p>
        </w:tc>
      </w:tr>
      <w:tr>
        <w:tc>
          <w:tcPr>
            <w:tcW w:type="dxa" w:w="1728"/>
          </w:tcPr>
          <w:p>
            <w:r>
              <w:t>bridging_sc_idx</w:t>
            </w:r>
          </w:p>
        </w:tc>
        <w:tc>
          <w:tcPr>
            <w:tcW w:type="dxa" w:w="1728"/>
          </w:tcPr>
          <w:p>
            <w:r>
              <w:t>桥接型社会资本（同伴氛围）</w:t>
            </w:r>
          </w:p>
        </w:tc>
        <w:tc>
          <w:tcPr>
            <w:tcW w:type="dxa" w:w="1728"/>
          </w:tcPr>
          <w:p>
            <w:r>
              <w:t>数值型</w:t>
            </w:r>
          </w:p>
        </w:tc>
        <w:tc>
          <w:tcPr>
            <w:tcW w:type="dxa" w:w="1728"/>
          </w:tcPr>
          <w:p>
            <w:r>
              <w:t>学生问卷</w:t>
            </w:r>
          </w:p>
        </w:tc>
        <w:tc>
          <w:tcPr>
            <w:tcW w:type="dxa" w:w="1728"/>
          </w:tcPr>
          <w:p>
            <w:r>
              <w:t>均值合成 (w2c12, w2c14a, w2c22b等)</w:t>
            </w:r>
          </w:p>
        </w:tc>
      </w:tr>
      <w:tr>
        <w:tc>
          <w:tcPr>
            <w:tcW w:type="dxa" w:w="1728"/>
          </w:tcPr>
          <w:p>
            <w:r>
              <w:t>ses_idx</w:t>
            </w:r>
          </w:p>
        </w:tc>
        <w:tc>
          <w:tcPr>
            <w:tcW w:type="dxa" w:w="1728"/>
          </w:tcPr>
          <w:p>
            <w:r>
              <w:t>家庭社会经济地位 (SES)</w:t>
            </w:r>
          </w:p>
        </w:tc>
        <w:tc>
          <w:tcPr>
            <w:tcW w:type="dxa" w:w="1728"/>
          </w:tcPr>
          <w:p>
            <w:r>
              <w:t>数值型</w:t>
            </w:r>
          </w:p>
        </w:tc>
        <w:tc>
          <w:tcPr>
            <w:tcW w:type="dxa" w:w="1728"/>
          </w:tcPr>
          <w:p>
            <w:r>
              <w:t>学生/家长问卷</w:t>
            </w:r>
          </w:p>
        </w:tc>
        <w:tc>
          <w:tcPr>
            <w:tcW w:type="dxa" w:w="1728"/>
          </w:tcPr>
          <w:p>
            <w:r>
              <w:t>基于父母教育、职业及家庭资产合成</w:t>
            </w:r>
          </w:p>
        </w:tc>
      </w:tr>
      <w:tr>
        <w:tc>
          <w:tcPr>
            <w:tcW w:type="dxa" w:w="1728"/>
          </w:tcPr>
          <w:p>
            <w:r>
              <w:t>hukou_num</w:t>
            </w:r>
          </w:p>
        </w:tc>
        <w:tc>
          <w:tcPr>
            <w:tcW w:type="dxa" w:w="1728"/>
          </w:tcPr>
          <w:p>
            <w:r>
              <w:t>户籍类型</w:t>
            </w:r>
          </w:p>
        </w:tc>
        <w:tc>
          <w:tcPr>
            <w:tcW w:type="dxa" w:w="1728"/>
          </w:tcPr>
          <w:p>
            <w:r>
              <w:t>分类 (0/1)</w:t>
            </w:r>
          </w:p>
        </w:tc>
        <w:tc>
          <w:tcPr>
            <w:tcW w:type="dxa" w:w="1728"/>
          </w:tcPr>
          <w:p>
            <w:r>
              <w:t>学生问卷 w2a18</w:t>
            </w:r>
          </w:p>
        </w:tc>
        <w:tc>
          <w:tcPr>
            <w:tcW w:type="dxa" w:w="1728"/>
          </w:tcPr>
          <w:p>
            <w:r>
              <w:t>0=城市/非农, 1=农村/农业</w:t>
            </w:r>
          </w:p>
        </w:tc>
      </w:tr>
      <w:tr>
        <w:tc>
          <w:tcPr>
            <w:tcW w:type="dxa" w:w="1728"/>
          </w:tcPr>
          <w:p>
            <w:r>
              <w:t>expect_univ_bin</w:t>
            </w:r>
          </w:p>
        </w:tc>
        <w:tc>
          <w:tcPr>
            <w:tcW w:type="dxa" w:w="1728"/>
          </w:tcPr>
          <w:p>
            <w:r>
              <w:t>升学信心 (教育期望)</w:t>
            </w:r>
          </w:p>
        </w:tc>
        <w:tc>
          <w:tcPr>
            <w:tcW w:type="dxa" w:w="1728"/>
          </w:tcPr>
          <w:p>
            <w:r>
              <w:t>二分变量</w:t>
            </w:r>
          </w:p>
        </w:tc>
        <w:tc>
          <w:tcPr>
            <w:tcW w:type="dxa" w:w="1728"/>
          </w:tcPr>
          <w:p>
            <w:r>
              <w:t>学生问卷 w2c11</w:t>
            </w:r>
          </w:p>
        </w:tc>
        <w:tc>
          <w:tcPr>
            <w:tcW w:type="dxa" w:w="1728"/>
          </w:tcPr>
          <w:p>
            <w:r>
              <w:t>1=期望上大学/普高, 0=其他</w:t>
            </w:r>
          </w:p>
        </w:tc>
      </w:tr>
    </w:tbl>
    <w:p>
      <w:r>
        <w:br/>
      </w:r>
    </w:p>
    <w:p>
      <w:pPr>
        <w:pStyle w:val="Heading1"/>
      </w:pPr>
      <w:r>
        <w:t>2. 数据质量评估</w:t>
      </w:r>
    </w:p>
    <w:p>
      <w:pPr>
        <w:pStyle w:val="Heading2"/>
      </w:pPr>
      <w:r>
        <w:t>2.1 完整性 (Completeness)</w:t>
      </w:r>
    </w:p>
    <w:p>
      <w:r>
        <w:t>原始数据 (N=10750) 中部分核心指标存在较高缺失率（如 w2c11a 缺失约 76%），主要源于问卷跳答设计。经过数据清洗与成对删除（Listwise Deletion），最终纳入分析的有效样本量为 N=1957，满足统计建模的基本要求。</w:t>
      </w:r>
    </w:p>
    <w:p>
      <w:pPr>
        <w:pStyle w:val="Heading2"/>
      </w:pPr>
      <w:r>
        <w:t>2.2 准确性 (Accuracy)</w:t>
      </w:r>
    </w:p>
    <w:p>
      <w:r>
        <w:t>通过正态性检验发现，核心连续变量（Bonding SC, Bridging SC, SES）均呈现显著的右偏分布（Skewness &gt; 1），不符合正态分布假设。因此，后续分析建议采用对正态性不敏感的模型（如 Logistic 回归）或非参数方法。</w:t>
      </w:r>
    </w:p>
    <w:p>
      <w:pPr>
        <w:pStyle w:val="Heading2"/>
      </w:pPr>
      <w:r>
        <w:t>2.3 一致性与时效性</w:t>
      </w:r>
    </w:p>
    <w:p>
      <w:r>
        <w:t>数据源自 CEPS 第二轮（2014-2015学年），逻辑一致性良好。作为横截面分析，不涉及时间序列逻辑校验。</w:t>
      </w:r>
    </w:p>
    <w:p>
      <w:pPr>
        <w:pStyle w:val="Heading1"/>
      </w:pPr>
      <w:r>
        <w:t>3. 现有数据分析</w:t>
      </w:r>
    </w:p>
    <w:p>
      <w:pPr>
        <w:pStyle w:val="Heading2"/>
      </w:pPr>
      <w:r>
        <w:t>3.1 变量分布</w:t>
      </w:r>
    </w:p>
    <w:p>
      <w:r>
        <w:t>图 1 展示了学校社会资本的分布情况。可见大部分学生的社会资本得分集中在均值附近，但存在右尾拖尾。</w:t>
      </w:r>
    </w:p>
    <w:p>
      <w:r>
        <w:drawing>
          <wp:inline xmlns:a="http://schemas.openxmlformats.org/drawingml/2006/main" xmlns:pic="http://schemas.openxmlformats.org/drawingml/2006/picture">
            <wp:extent cx="4572000" cy="3037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ocial_capi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教育期望分布</w:t>
      </w:r>
    </w:p>
    <w:p>
      <w:r>
        <w:t>图 2 展示了样本学生的教育期望分布，整体呈现高期望特征（天花板效应）。</w:t>
      </w:r>
    </w:p>
    <w:p>
      <w:r>
        <w:drawing>
          <wp:inline xmlns:a="http://schemas.openxmlformats.org/drawingml/2006/main" xmlns:pic="http://schemas.openxmlformats.org/drawingml/2006/picture">
            <wp:extent cx="4572000" cy="2714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xpectations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交互效应探索</w:t>
      </w:r>
    </w:p>
    <w:p>
      <w:r>
        <w:t>图 3 展示了不同 SES 背景下，师生关系对升学信心的影响。曲线斜率的差异初步验证了“补偿效应”的存在。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Bonding_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当前计划汇总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产出物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数据清洗</w:t>
            </w:r>
          </w:p>
        </w:tc>
        <w:tc>
          <w:tcPr>
            <w:tcW w:type="dxa" w:w="2160"/>
          </w:tcPr>
          <w:p>
            <w:r>
              <w:t>多源数据合并、缺失值处理、变量重构</w:t>
            </w:r>
          </w:p>
        </w:tc>
        <w:tc>
          <w:tcPr>
            <w:tcW w:type="dxa" w:w="2160"/>
          </w:tcPr>
          <w:p>
            <w:r>
              <w:t>cepsw2studentCN_clean.csv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描述性统计</w:t>
            </w:r>
          </w:p>
        </w:tc>
        <w:tc>
          <w:tcPr>
            <w:tcW w:type="dxa" w:w="2160"/>
          </w:tcPr>
          <w:p>
            <w:r>
              <w:t>分布分析、缺失率计算、图表绘制</w:t>
            </w:r>
          </w:p>
        </w:tc>
        <w:tc>
          <w:tcPr>
            <w:tcW w:type="dxa" w:w="2160"/>
          </w:tcPr>
          <w:p>
            <w:r>
              <w:t>figures/*.png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机制探索</w:t>
            </w:r>
          </w:p>
        </w:tc>
        <w:tc>
          <w:tcPr>
            <w:tcW w:type="dxa" w:w="2160"/>
          </w:tcPr>
          <w:p>
            <w:r>
              <w:t>ML模型探索非线性与阈值效应</w:t>
            </w:r>
          </w:p>
        </w:tc>
        <w:tc>
          <w:tcPr>
            <w:tcW w:type="dxa" w:w="2160"/>
          </w:tcPr>
          <w:p>
            <w:r>
              <w:t>Decision_Tree_Thresholds.png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模型评估</w:t>
            </w:r>
          </w:p>
        </w:tc>
        <w:tc>
          <w:tcPr>
            <w:tcW w:type="dxa" w:w="2160"/>
          </w:tcPr>
          <w:p>
            <w:r>
              <w:t>评估调和模型适用性（结论：不适用）</w:t>
            </w:r>
          </w:p>
        </w:tc>
        <w:tc>
          <w:tcPr>
            <w:tcW w:type="dxa" w:w="2160"/>
          </w:tcPr>
          <w:p>
            <w:r>
              <w:t>Evaluation_Report.md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</w:tbl>
    <w:p>
      <w:r>
        <w:br/>
      </w:r>
    </w:p>
    <w:p>
      <w:pPr>
        <w:pStyle w:val="Heading1"/>
      </w:pPr>
      <w:r>
        <w:t>5. 后续 TODO 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任务名称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预期交付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截止时间</w:t>
            </w:r>
          </w:p>
        </w:tc>
      </w:tr>
      <w:tr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HLM 多层模型构建</w:t>
            </w:r>
          </w:p>
        </w:tc>
        <w:tc>
          <w:tcPr>
            <w:tcW w:type="dxa" w:w="1728"/>
          </w:tcPr>
          <w:p>
            <w:r>
              <w:t>实施两层（学生-学校）逻辑回归，检验调节效应</w:t>
            </w:r>
          </w:p>
        </w:tc>
        <w:tc>
          <w:tcPr>
            <w:tcW w:type="dxa" w:w="1728"/>
          </w:tcPr>
          <w:p>
            <w:r>
              <w:t>模型结果表 (Odds Ratios)</w:t>
            </w:r>
          </w:p>
        </w:tc>
        <w:tc>
          <w:tcPr>
            <w:tcW w:type="dxa" w:w="1728"/>
          </w:tcPr>
          <w:p>
            <w:r>
              <w:t>T+1天</w:t>
            </w:r>
          </w:p>
        </w:tc>
      </w:tr>
      <w:tr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论文主体撰写</w:t>
            </w:r>
          </w:p>
        </w:tc>
        <w:tc>
          <w:tcPr>
            <w:tcW w:type="dxa" w:w="1728"/>
          </w:tcPr>
          <w:p>
            <w:r>
              <w:t>整合背景、方法、结果，撰写完整论文草稿</w:t>
            </w:r>
          </w:p>
        </w:tc>
        <w:tc>
          <w:tcPr>
            <w:tcW w:type="dxa" w:w="1728"/>
          </w:tcPr>
          <w:p>
            <w:r>
              <w:t>Draft_Paper.docx</w:t>
            </w:r>
          </w:p>
        </w:tc>
        <w:tc>
          <w:tcPr>
            <w:tcW w:type="dxa" w:w="1728"/>
          </w:tcPr>
          <w:p>
            <w:r>
              <w:t>T+3天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非线性效应补充</w:t>
            </w:r>
          </w:p>
        </w:tc>
        <w:tc>
          <w:tcPr>
            <w:tcW w:type="dxa" w:w="1728"/>
          </w:tcPr>
          <w:p>
            <w:r>
              <w:t>使用 GAM 细化阈值分析，补充到论文讨论部分</w:t>
            </w:r>
          </w:p>
        </w:tc>
        <w:tc>
          <w:tcPr>
            <w:tcW w:type="dxa" w:w="1728"/>
          </w:tcPr>
          <w:p>
            <w:r>
              <w:t>GAM分析章节</w:t>
            </w:r>
          </w:p>
        </w:tc>
        <w:tc>
          <w:tcPr>
            <w:tcW w:type="dxa" w:w="1728"/>
          </w:tcPr>
          <w:p>
            <w:r>
              <w:t>T+2天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格式规范化</w:t>
            </w:r>
          </w:p>
        </w:tc>
        <w:tc>
          <w:tcPr>
            <w:tcW w:type="dxa" w:w="1728"/>
          </w:tcPr>
          <w:p>
            <w:r>
              <w:t>参考文献整理、图表排版优化</w:t>
            </w:r>
          </w:p>
        </w:tc>
        <w:tc>
          <w:tcPr>
            <w:tcW w:type="dxa" w:w="1728"/>
          </w:tcPr>
          <w:p>
            <w:r>
              <w:t>Final_Submission.pdf</w:t>
            </w:r>
          </w:p>
        </w:tc>
        <w:tc>
          <w:tcPr>
            <w:tcW w:type="dxa" w:w="1728"/>
          </w:tcPr>
          <w:p>
            <w:r>
              <w:t>T+4天</w:t>
            </w:r>
          </w:p>
        </w:tc>
      </w:tr>
    </w:tbl>
    <w:p>
      <w:r>
        <w:br/>
        <w:t>风险提示：由于样本量筛选后较小（N=1957），需注意模型过拟合风险，建议使用交叉验证。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