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Papers and Project Implementation</w:t>
      </w:r>
    </w:p>
    <w:p>
      <w:pPr>
        <w:spacing w:after="100"/>
      </w:pPr>
      <w:r>
        <w:rPr>
          <w:color w:val="587080"/>
          <w:sz w:val="18"/>
        </w:rPr>
        <w:t>Intent-Based SDN for 5G Service-Level Agreement Enforcement  |  Team 16  |  25 October 2026</w:t>
      </w:r>
    </w:p>
    <w:p>
      <w:r>
        <w:rPr>
          <w:b/>
        </w:rPr>
        <w:t xml:space="preserve">Purpose. </w:t>
      </w:r>
      <w:r>
        <w:t>This review connects seven supplied papers to the project implementation. The papers establish context and methods; our contribution is the integrated, reproducible prototype and its measured behavior, not a new networking algorithm. “Implemented” below refers to local feature-branch work unless stated otherwise; feature branches are not yet merged to protected main.</w:t>
      </w:r>
    </w:p>
    <w:p>
      <w:pPr>
        <w:pStyle w:val="Heading1"/>
      </w:pPr>
      <w:r>
        <w:t>Paper-by-paper review</w:t>
      </w:r>
    </w:p>
    <w:p>
      <w:pPr>
        <w:pStyle w:val="Heading2"/>
      </w:pPr>
      <w:r>
        <w:t>1. Foerster, Schmid &amp; Vissicchio (2019) — consistent SDN updates survey [1]</w:t>
      </w:r>
    </w:p>
    <w:p>
      <w:pPr>
        <w:keepLines/>
      </w:pPr>
      <w:r>
        <w:t>The survey organizes update guarantees, algorithms and their cost in time and switch rules. I understand its central lesson as choosing a transition guarantee deliberately: a correct final route alone does not ensure packets remain safe while rules change. Our project adds SLA-aware path choice, enforcement and telemetry around route changes. ST-10 now adds a versioned two-phase update, validated in the live Mininet/OVS/Ryu scenario; its bounded drain interval is specific to this emulated topology.</w:t>
      </w:r>
    </w:p>
    <w:p>
      <w:pPr>
        <w:pStyle w:val="Heading2"/>
      </w:pPr>
      <w:r>
        <w:t>2. Reitblatt et al. (2012) — “Abstractions for Network Update” [2]</w:t>
      </w:r>
    </w:p>
    <w:p>
      <w:pPr>
        <w:keepLines/>
      </w:pPr>
      <w:r>
        <w:t>The paper formalizes per-packet and per-flow consistency and uses versioned rules so packets follow either the old or new policy during an update, often with temporary duplicate rule state. I understand this as a transition safety contract, not simply a correct final route. Our added implementation stages VLAN-tagged forwarding rules, flips ingress classifiers after barriers, retains the old version through a bounded drain interval, then removes it. The live ST-10 scenario verified the version flip and packet delivery; it does not prove a general WAN packet-lifetime guarantee.</w:t>
      </w:r>
    </w:p>
    <w:p>
      <w:pPr>
        <w:pStyle w:val="Heading2"/>
      </w:pPr>
      <w:r>
        <w:t>3. Katta, Rexford &amp; Walker (2013) — incremental updates (HotSDN workshop paper) [3]</w:t>
      </w:r>
    </w:p>
    <w:p>
      <w:pPr>
        <w:keepLines/>
      </w:pPr>
      <w:r>
        <w:t>This workshop paper divides a consistent migration into rounds and trades update time against temporary rule-space overhead, using dependency analysis and an optimization formulation to choose traffic slices. I understand the practical point as reducing peak table pressure by accepting a longer migration. Our prototype reroutes an intent as one path change; it has no multi-round flow migration, optimizer or rule-space cap. This method is not implemented.</w:t>
      </w:r>
    </w:p>
    <w:p>
      <w:pPr>
        <w:pStyle w:val="Heading2"/>
      </w:pPr>
      <w:r>
        <w:t>4. Zhou et al. (2015) — CCG customizable consistency (USENIX NSDI) [4]</w:t>
      </w:r>
    </w:p>
    <w:p>
      <w:pPr>
        <w:keepLines/>
      </w:pPr>
      <w:r>
        <w:t>CCG checks proposed state changes against operator-defined consistency properties, schedules safe transitions and uses heavier mechanisms when needed; its evaluation compares the consistency/efficiency trade-off. I understand that safety can be tailored to the operator’s invariants and network uncertainty. Our additional work is at the SLA level—confirmed violation handling, alternative-path computation and causal audit—not CCG-style verification of intermediate network states. CCG is not implemented.</w:t>
      </w:r>
    </w:p>
    <w:p>
      <w:pPr>
        <w:pStyle w:val="Heading2"/>
        <w:pageBreakBefore/>
      </w:pPr>
      <w:r>
        <w:t>5. Sakic &amp; Kellerer (2018) — adaptive consistency in distributed SDN [5]</w:t>
      </w:r>
    </w:p>
    <w:p>
      <w:pPr>
        <w:keepLines/>
      </w:pPr>
      <w:r>
        <w:t>The empirical study compares strong and eventual controller-state consistency and proposes adapting consistency to balance throughput, response time and correctness in replicated controllers. I understand its focus is controller replication and state distribution, not per-intent path selection. Our testbed runs one Ryu controller and therefore does not implement or evaluate adaptive replica consistency. The project instead adds per-intent measurement and response to SLA violations.</w:t>
      </w:r>
    </w:p>
    <w:p>
      <w:pPr>
        <w:pStyle w:val="Heading2"/>
      </w:pPr>
      <w:r>
        <w:t>6. Leivadeas &amp; Falkner (2023) — intent-based networking survey [6]</w:t>
      </w:r>
    </w:p>
    <w:p>
      <w:pPr>
        <w:keepLines/>
      </w:pPr>
      <w:r>
        <w:t>The survey explains the IBN lifecycle - intent expression, translation, resolution, activation and assurance - and identifies open challenges. I understand assurance as closing the loop: measure whether the requested outcome holds, then take an explainable action. Our frozen YAML grammar, validation, path computation, OpenFlow/HTB enforcement, telemetry, persisted violation events and live reroute implement a compact lifecycle slice. ST-8 adds residual-capacity admission; ST-9 adds priority preemption; ST-10 adds safe versioned route updates; ST-11 adds the read-only dashboard and audit view. This is a prototype, not a full carrier IBN platform.</w:t>
      </w:r>
    </w:p>
    <w:p>
      <w:pPr>
        <w:pStyle w:val="Heading2"/>
      </w:pPr>
      <w:r>
        <w:t>7. Park et al. (2023) — SDN service assurance for end-to-end slicing [7]</w:t>
      </w:r>
    </w:p>
    <w:p>
      <w:pPr>
        <w:keepLines/>
      </w:pPr>
      <w:r>
        <w:t>This review covers end-to-end slicing across RAN, transport and core, including isolation, QoS/traffic engineering and active/passive SLA monitoring. I understand it as a reminder that transport assurance is only one part of an end-to-end slice. Our extra artifact is a seven-switch Mininet transport demonstrator with intent-driven paths, queues, telemetry and rerouting. It is not a complete 5G slice: RAN, xHaul, core and multi-domain orchestration are outside the current topology.</w:t>
      </w:r>
    </w:p>
    <w:p>
      <w:pPr>
        <w:pStyle w:val="Heading1"/>
      </w:pPr>
      <w:r>
        <w:t>Comparison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504"/>
            <w:vAlign w:val="center"/>
            <w:shd w:fill="1230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Ref.</w:t>
            </w:r>
          </w:p>
        </w:tc>
        <w:tc>
          <w:tcPr>
            <w:tcW w:type="dxa" w:w="3139"/>
            <w:vAlign w:val="center"/>
            <w:shd w:fill="1230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Paper contribution</w:t>
            </w:r>
          </w:p>
        </w:tc>
        <w:tc>
          <w:tcPr>
            <w:tcW w:type="dxa" w:w="6077"/>
            <w:vAlign w:val="center"/>
            <w:shd w:fill="1230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What our implementation adds / status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EEF4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7313D"/>
                <w:sz w:val="14"/>
              </w:rPr>
              <w:t>1</w:t>
            </w:r>
          </w:p>
        </w:tc>
        <w:tc>
          <w:tcPr>
            <w:tcW w:type="dxa" w:w="3139"/>
            <w:vAlign w:val="center"/>
            <w:shd w:fill="EEF4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7313D"/>
                <w:sz w:val="14"/>
              </w:rPr>
              <w:t>Survey of update guarantees/costs</w:t>
            </w:r>
          </w:p>
        </w:tc>
        <w:tc>
          <w:tcPr>
            <w:tcW w:type="dxa" w:w="6077"/>
            <w:vAlign w:val="center"/>
            <w:shd w:fill="EEF4F5"/>
          </w:tcPr>
          <w:p>
            <w:r>
              <w:t>Context; direct install and reroute; ST-10 two-phase update validated in Mininet.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7313D"/>
                <w:sz w:val="14"/>
              </w:rPr>
              <w:t>2</w:t>
            </w:r>
          </w:p>
        </w:tc>
        <w:tc>
          <w:tcPr>
            <w:tcW w:type="dxa" w:w="313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7313D"/>
                <w:sz w:val="14"/>
              </w:rPr>
              <w:t>Per-packet / per-flow versioned updates</w:t>
            </w:r>
          </w:p>
        </w:tc>
        <w:tc>
          <w:tcPr>
            <w:tcW w:type="dxa" w:w="6077"/>
            <w:vAlign w:val="center"/>
          </w:tcPr>
          <w:p>
            <w:r>
              <w:t>Basis for ST-10: versioned two-phase update live-tested; WAN drain bounds remain unverified.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EEF4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7313D"/>
                <w:sz w:val="14"/>
              </w:rPr>
              <w:t>3</w:t>
            </w:r>
          </w:p>
        </w:tc>
        <w:tc>
          <w:tcPr>
            <w:tcW w:type="dxa" w:w="3139"/>
            <w:vAlign w:val="center"/>
            <w:shd w:fill="EEF4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7313D"/>
                <w:sz w:val="14"/>
              </w:rPr>
              <w:t>Incremental migration; time vs. rule space</w:t>
            </w:r>
          </w:p>
        </w:tc>
        <w:tc>
          <w:tcPr>
            <w:tcW w:type="dxa" w:w="6077"/>
            <w:vAlign w:val="center"/>
            <w:shd w:fill="EEF4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7313D"/>
                <w:sz w:val="14"/>
              </w:rPr>
              <w:t>Not implemented; current reroute changes one path at once.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7313D"/>
                <w:sz w:val="14"/>
              </w:rPr>
              <w:t>4</w:t>
            </w:r>
          </w:p>
        </w:tc>
        <w:tc>
          <w:tcPr>
            <w:tcW w:type="dxa" w:w="313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7313D"/>
                <w:sz w:val="14"/>
              </w:rPr>
              <w:t>Customizable transition-invariant checking</w:t>
            </w:r>
          </w:p>
        </w:tc>
        <w:tc>
          <w:tcPr>
            <w:tcW w:type="dxa" w:w="607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7313D"/>
                <w:sz w:val="14"/>
              </w:rPr>
              <w:t>Not implemented; project checks SLA feasibility, not CCG invariants.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EEF4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7313D"/>
                <w:sz w:val="14"/>
              </w:rPr>
              <w:t>5</w:t>
            </w:r>
          </w:p>
        </w:tc>
        <w:tc>
          <w:tcPr>
            <w:tcW w:type="dxa" w:w="3139"/>
            <w:vAlign w:val="center"/>
            <w:shd w:fill="EEF4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7313D"/>
                <w:sz w:val="14"/>
              </w:rPr>
              <w:t>Adaptive consistency across controller replicas</w:t>
            </w:r>
          </w:p>
        </w:tc>
        <w:tc>
          <w:tcPr>
            <w:tcW w:type="dxa" w:w="6077"/>
            <w:vAlign w:val="center"/>
            <w:shd w:fill="EEF4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7313D"/>
                <w:sz w:val="14"/>
              </w:rPr>
              <w:t>Out of current scope; single Ryu controller.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7313D"/>
                <w:sz w:val="14"/>
              </w:rPr>
              <w:t>6</w:t>
            </w:r>
          </w:p>
        </w:tc>
        <w:tc>
          <w:tcPr>
            <w:tcW w:type="dxa" w:w="313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7313D"/>
                <w:sz w:val="14"/>
              </w:rPr>
              <w:t>IBN intent lifecycle and assurance</w:t>
            </w:r>
          </w:p>
        </w:tc>
        <w:tc>
          <w:tcPr>
            <w:tcW w:type="dxa" w:w="6077"/>
            <w:vAlign w:val="center"/>
          </w:tcPr>
          <w:p>
            <w:r>
              <w:t>ST-7 reroute, ST-8 admission, ST-9 preemption, ST-10 updates and ST-11 dashboard verified.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EEF4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7313D"/>
                <w:sz w:val="14"/>
              </w:rPr>
              <w:t>7</w:t>
            </w:r>
          </w:p>
        </w:tc>
        <w:tc>
          <w:tcPr>
            <w:tcW w:type="dxa" w:w="3139"/>
            <w:vAlign w:val="center"/>
            <w:shd w:fill="EEF4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7313D"/>
                <w:sz w:val="14"/>
              </w:rPr>
              <w:t>End-to-end slice assurance</w:t>
            </w:r>
          </w:p>
        </w:tc>
        <w:tc>
          <w:tcPr>
            <w:tcW w:type="dxa" w:w="6077"/>
            <w:vAlign w:val="center"/>
            <w:shd w:fill="EEF4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7313D"/>
                <w:sz w:val="14"/>
              </w:rPr>
              <w:t>Transport-only emulation; no RAN, xHaul or core.</w:t>
            </w:r>
          </w:p>
        </w:tc>
      </w:tr>
    </w:tbl>
    <w:p>
      <w:pPr>
        <w:pStyle w:val="Heading1"/>
      </w:pPr>
      <w:r>
        <w:t>Current project progress and next work</w:t>
      </w:r>
    </w:p>
    <w:p>
      <w:r>
        <w:t>At 25 October 2026, the cumulative local feat/st-12-evaluation branch contains ST-1 through ST-11. The Python 3.9 container suite passes 260 tests (11 skipped), Ruff is clean, and the dashboard endpoint/browser check passed. Live ST-7 verified a persisted telemetry violation, reroute, causal audit and UDP delivery; ST-9 verified preemption; ST-10 verified the version flip, old-rule removal and UDP delivery. The feature work is local and not merged to protected main.</w:t>
      </w:r>
    </w:p>
    <w:p>
      <w:r>
        <w:t>ST-12 includes a ten-run B0 Mininet baseline with 95% t intervals. A corrected E5 pilot loaded 2,000 unique rules at each tested limit from 100 to 5,000 on OVS 2.17.12; the cap had no observed effect in this software-switch setup. B1-B3 and the original E1-E8 definitions are absent from the repository, so those comparisons remain open. ST-13 figures and ST-14 final reporting/demo remain. The supplied papers are strongest on consistent updates and do not settle measurement uncertainty, emulation fidelity, 5G QoS mapping or telemetry methods.</w:t>
      </w:r>
    </w:p>
    <w:p>
      <w:pPr>
        <w:pStyle w:val="Heading1"/>
      </w:pPr>
      <w:r>
        <w:t>References</w:t>
      </w:r>
    </w:p>
    <w:p>
      <w:pPr>
        <w:spacing w:after="0" w:line="240" w:lineRule="auto"/>
      </w:pPr>
      <w:r>
        <w:rPr>
          <w:sz w:val="14"/>
        </w:rPr>
        <w:t>[1] K.-T. Foerster, S. Schmid &amp; S. Vissicchio, “Survey of Consistent Software-Defined Network Updates,” IEEE Communications Surveys &amp; Tutorials, 2019.</w:t>
      </w:r>
    </w:p>
    <w:p>
      <w:pPr>
        <w:spacing w:after="0" w:line="240" w:lineRule="auto"/>
      </w:pPr>
      <w:r>
        <w:rPr>
          <w:sz w:val="14"/>
        </w:rPr>
        <w:t>[2] M. Reitblatt et al., “Abstractions for Network Update,” ACM SIGCOMM, 2012.</w:t>
      </w:r>
    </w:p>
    <w:p>
      <w:pPr>
        <w:spacing w:after="0" w:line="240" w:lineRule="auto"/>
      </w:pPr>
      <w:r>
        <w:rPr>
          <w:sz w:val="14"/>
        </w:rPr>
        <w:t>[3] N. P. Katta, J. Rexford &amp; D. Walker, “Incremental Consistent Updates,” ACM HotSDN workshop, 2013.</w:t>
      </w:r>
    </w:p>
    <w:p>
      <w:pPr>
        <w:spacing w:after="0" w:line="240" w:lineRule="auto"/>
      </w:pPr>
      <w:r>
        <w:rPr>
          <w:sz w:val="14"/>
        </w:rPr>
        <w:t>[4] W. Zhou et al., “Enforcing Customizable Consistency Properties in Software-Defined Networks,” USENIX NSDI, 2015.</w:t>
      </w:r>
    </w:p>
    <w:p>
      <w:pPr>
        <w:spacing w:after="0" w:line="240" w:lineRule="auto"/>
      </w:pPr>
      <w:r>
        <w:rPr>
          <w:sz w:val="14"/>
        </w:rPr>
        <w:t>[5] E. Sakic &amp; W. Kellerer, “Impact of Adaptive Consistency on Distributed SDN Applications: An Empirical Study,” IEEE JSAC, 2018.</w:t>
      </w:r>
    </w:p>
    <w:p>
      <w:pPr>
        <w:spacing w:after="0" w:line="240" w:lineRule="auto"/>
      </w:pPr>
      <w:r>
        <w:rPr>
          <w:sz w:val="14"/>
        </w:rPr>
        <w:t>[6] A. Leivadeas &amp; M. Falkner, “A Survey on Intent-Based Networking,” IEEE Communications Surveys &amp; Tutorials, 25(1), 625–655, 2023. doi:10.1109/COMST.2022.3215919.</w:t>
      </w:r>
    </w:p>
    <w:p>
      <w:pPr>
        <w:spacing w:after="0" w:line="240" w:lineRule="auto"/>
      </w:pPr>
      <w:r>
        <w:rPr>
          <w:sz w:val="14"/>
        </w:rPr>
        <w:t>[7] K. Park et al., “Technology Trends and Challenges in SDN and Service Assurance for End-to-End Network Slicing,” Computer Networks 234, 109908, 2023.</w:t>
      </w:r>
    </w:p>
    <w:sectPr w:rsidR="00FC693F" w:rsidRPr="0006063C" w:rsidSect="00034616">
      <w:footerReference w:type="default" r:id="rId9"/>
      <w:pgSz w:w="12240" w:h="15840"/>
      <w:pgMar w:top="691" w:right="835" w:bottom="691" w:left="83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1818D"/>
        <w:sz w:val="14"/>
      </w:rPr>
      <w:t xml:space="preserve">Team 16  |  Research and implementation review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color w:val="2731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7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Papers and Project Implementation</dc:title>
  <dc:subject>Seven-paper review mapped to verified project progress</dc:subject>
  <dc:creator>Team 16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