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both"/>
        <w:rPr/>
      </w:pPr>
      <w:r>
        <w:rPr>
          <w:rStyle w:val="Strong"/>
          <w:b w:val="false"/>
          <w:bCs w:val="false"/>
          <w:i w:val="false"/>
          <w:caps w:val="false"/>
          <w:smallCaps w:val="false"/>
          <w:color w:val="auto"/>
          <w:sz w:val="20"/>
          <w:szCs w:val="20"/>
        </w:rPr>
        <w:t>CORPLINK (PVT.) LTD.</w:t>
      </w:r>
    </w:p>
    <w:p>
      <w:pPr>
        <w:pStyle w:val="Default"/>
        <w:tabs>
          <w:tab w:val="clear" w:pos="720"/>
          <w:tab w:val="left" w:pos="400" w:leader="none"/>
        </w:tabs>
        <w:bidi w:val="0"/>
        <w:jc w:val="both"/>
        <w:rPr/>
      </w:pPr>
      <w:r>
        <w:rPr>
          <w:rStyle w:val="Strong"/>
          <w:b w:val="false"/>
          <w:bCs w:val="false"/>
          <w:i w:val="false"/>
          <w:caps w:val="false"/>
          <w:smallCaps w:val="false"/>
          <w:color w:val="auto"/>
          <w:sz w:val="20"/>
          <w:szCs w:val="20"/>
        </w:rPr>
        <w:t>Wings Arcade, 1-K, Commercial</w:t>
      </w:r>
    </w:p>
    <w:p>
      <w:pPr>
        <w:pStyle w:val="Default"/>
        <w:tabs>
          <w:tab w:val="clear" w:pos="720"/>
          <w:tab w:val="left" w:pos="400" w:leader="none"/>
        </w:tabs>
        <w:bidi w:val="0"/>
        <w:jc w:val="both"/>
        <w:rPr/>
      </w:pPr>
      <w:r>
        <w:rPr>
          <w:rStyle w:val="Strong"/>
          <w:b w:val="false"/>
          <w:bCs w:val="false"/>
          <w:i w:val="false"/>
          <w:caps w:val="false"/>
          <w:smallCaps w:val="false"/>
          <w:color w:val="auto"/>
          <w:sz w:val="20"/>
          <w:szCs w:val="20"/>
        </w:rPr>
        <w:t>Model Town, Lahore</w:t>
      </w:r>
    </w:p>
    <w:p>
      <w:pPr>
        <w:pStyle w:val="Default"/>
        <w:tabs>
          <w:tab w:val="clear" w:pos="720"/>
          <w:tab w:val="left" w:pos="400" w:leader="none"/>
        </w:tabs>
        <w:bidi w:val="0"/>
        <w:jc w:val="both"/>
        <w:rPr/>
      </w:pPr>
      <w:r>
        <w:rPr>
          <w:rStyle w:val="Strong"/>
          <w:b w:val="false"/>
          <w:bCs w:val="false"/>
          <w:i w:val="false"/>
          <w:caps w:val="false"/>
          <w:smallCaps w:val="false"/>
          <w:color w:val="auto"/>
          <w:sz w:val="20"/>
          <w:szCs w:val="20"/>
        </w:rPr>
        <w:t>Tel: 92 42 35916714, 35916719, 35839182</w:t>
      </w:r>
    </w:p>
    <w:p>
      <w:pPr>
        <w:pStyle w:val="Default"/>
        <w:tabs>
          <w:tab w:val="clear" w:pos="720"/>
          <w:tab w:val="left" w:pos="400" w:leader="none"/>
        </w:tabs>
        <w:bidi w:val="0"/>
        <w:jc w:val="end"/>
        <w:rPr/>
      </w:pPr>
      <w:r>
        <w:rPr>
          <w:color w:val="auto"/>
          <w:sz w:val="20"/>
          <w:szCs w:val="20"/>
          <w:u w:val="none"/>
        </w:rPr>
        <w:fldChar w:fldCharType="begin"/>
      </w:r>
      <w:r>
        <w:rPr>
          <w:color w:val="auto"/>
          <w:sz w:val="20"/>
          <w:szCs w:val="20"/>
          <w:u w:val="none"/>
        </w:rPr>
        <w:instrText xml:space="preserve"> DOCPROPERTY "DateOfDispatch"</w:instrText>
      </w:r>
      <w:r>
        <w:rPr>
          <w:color w:val="auto"/>
          <w:sz w:val="20"/>
          <w:szCs w:val="20"/>
          <w:u w:val="none"/>
        </w:rPr>
        <w:fldChar w:fldCharType="separate"/>
      </w:r>
      <w:r>
        <w:rPr>
          <w:color w:val="auto"/>
          <w:sz w:val="20"/>
          <w:szCs w:val="20"/>
          <w:u w:val="none"/>
        </w:rPr>
        <w:t>April 29, 2026</w:t>
      </w:r>
      <w:r>
        <w:rPr>
          <w:color w:val="auto"/>
          <w:sz w:val="20"/>
          <w:szCs w:val="20"/>
          <w:u w:val="none"/>
        </w:rPr>
        <w:fldChar w:fldCharType="end"/>
      </w:r>
    </w:p>
    <w:p>
      <w:pPr>
        <w:pStyle w:val="Default"/>
        <w:tabs>
          <w:tab w:val="clear" w:pos="720"/>
          <w:tab w:val="left" w:pos="400" w:leader="none"/>
        </w:tabs>
        <w:bidi w:val="0"/>
        <w:jc w:val="end"/>
        <w:rPr>
          <w:sz w:val="16"/>
          <w:szCs w:val="20"/>
        </w:rPr>
      </w:pPr>
      <w:r>
        <w:rPr>
          <w:i w:val="false"/>
          <w:caps w:val="false"/>
          <w:smallCaps w:val="false"/>
          <w:color w:val="auto"/>
          <w:sz w:val="16"/>
          <w:szCs w:val="20"/>
          <w:u w:val="none"/>
        </w:rPr>
        <w:fldChar w:fldCharType="begin"/>
      </w:r>
      <w:r>
        <w:rPr>
          <w:i w:val="false"/>
          <w:caps w:val="false"/>
          <w:smallCaps w:val="false"/>
          <w:color w:val="auto"/>
          <w:sz w:val="16"/>
          <w:szCs w:val="20"/>
          <w:u w:val="none"/>
        </w:rPr>
        <w:instrText xml:space="preserve"> DOCPROPERTY "CoTicker"</w:instrText>
      </w:r>
      <w:r>
        <w:rPr>
          <w:i w:val="false"/>
          <w:caps w:val="false"/>
          <w:smallCaps w:val="false"/>
          <w:color w:val="auto"/>
          <w:sz w:val="16"/>
          <w:szCs w:val="20"/>
          <w:u w:val="none"/>
        </w:rPr>
        <w:fldChar w:fldCharType="separate"/>
      </w:r>
      <w:r>
        <w:rPr>
          <w:i w:val="false"/>
          <w:caps w:val="false"/>
          <w:smallCaps w:val="false"/>
          <w:color w:val="auto"/>
          <w:sz w:val="16"/>
          <w:szCs w:val="20"/>
          <w:u w:val="none"/>
        </w:rPr>
        <w:t>SRVI</w:t>
      </w:r>
      <w:r>
        <w:rPr>
          <w:i w:val="false"/>
          <w:caps w:val="false"/>
          <w:smallCaps w:val="false"/>
          <w:color w:val="auto"/>
          <w:sz w:val="16"/>
          <w:szCs w:val="20"/>
          <w:u w:val="none"/>
        </w:rPr>
        <w:fldChar w:fldCharType="end"/>
      </w:r>
      <w:r>
        <w:rPr>
          <w:i w:val="false"/>
          <w:caps w:val="false"/>
          <w:smallCaps w:val="false"/>
          <w:color w:val="auto"/>
          <w:sz w:val="16"/>
          <w:szCs w:val="20"/>
          <w:u w:val="none"/>
        </w:rPr>
        <w:t xml:space="preserve"> </w:t>
      </w:r>
      <w:r>
        <w:rPr>
          <w:i w:val="false"/>
          <w:caps w:val="false"/>
          <w:smallCaps w:val="false"/>
          <w:color w:val="auto"/>
          <w:sz w:val="16"/>
          <w:szCs w:val="20"/>
          <w:u w:val="none"/>
        </w:rPr>
        <w:t xml:space="preserve">- </w:t>
      </w:r>
      <w:r>
        <w:rPr>
          <w:i w:val="false"/>
          <w:caps w:val="false"/>
          <w:smallCaps w:val="false"/>
          <w:color w:val="auto"/>
          <w:sz w:val="16"/>
          <w:szCs w:val="20"/>
          <w:u w:val="none"/>
        </w:rPr>
        <w:fldChar w:fldCharType="begin"/>
      </w:r>
      <w:r>
        <w:rPr>
          <w:i w:val="false"/>
          <w:caps w:val="false"/>
          <w:smallCaps w:val="false"/>
          <w:color w:val="auto"/>
          <w:sz w:val="16"/>
          <w:szCs w:val="20"/>
          <w:u w:val="none"/>
        </w:rPr>
        <w:instrText xml:space="preserve"> DOCPROPERTY "ReferenceSending"</w:instrText>
      </w:r>
      <w:r>
        <w:rPr>
          <w:i w:val="false"/>
          <w:caps w:val="false"/>
          <w:smallCaps w:val="false"/>
          <w:color w:val="auto"/>
          <w:sz w:val="16"/>
          <w:szCs w:val="20"/>
          <w:u w:val="none"/>
        </w:rPr>
        <w:fldChar w:fldCharType="separate"/>
      </w:r>
      <w:r>
        <w:rPr>
          <w:i w:val="false"/>
          <w:caps w:val="false"/>
          <w:smallCaps w:val="false"/>
          <w:color w:val="auto"/>
          <w:sz w:val="16"/>
          <w:szCs w:val="20"/>
          <w:u w:val="none"/>
        </w:rPr>
        <w:t>2601</w:t>
      </w:r>
      <w:r>
        <w:rPr>
          <w:i w:val="false"/>
          <w:caps w:val="false"/>
          <w:smallCaps w:val="false"/>
          <w:color w:val="auto"/>
          <w:sz w:val="16"/>
          <w:szCs w:val="20"/>
          <w:u w:val="none"/>
        </w:rPr>
        <w:fldChar w:fldCharType="end"/>
      </w:r>
    </w:p>
    <w:p>
      <w:pPr>
        <w:pStyle w:val="Default"/>
        <w:tabs>
          <w:tab w:val="clear" w:pos="720"/>
          <w:tab w:val="left" w:pos="400" w:leader="none"/>
        </w:tabs>
        <w:bidi w:val="0"/>
        <w:jc w:val="both"/>
        <w:rPr/>
      </w:pPr>
      <w:r>
        <w:rPr>
          <w:b/>
          <w:bCs/>
          <w:strike w:val="false"/>
          <w:dstrike w:val="false"/>
          <w:color w:val="auto"/>
          <w:sz w:val="20"/>
          <w:szCs w:val="20"/>
          <w:u w:val="none"/>
        </w:rPr>
        <w:fldChar w:fldCharType="begin"/>
      </w:r>
      <w:r>
        <w:rPr>
          <w:b/>
          <w:bCs/>
          <w:strike w:val="false"/>
          <w:dstrike w:val="false"/>
          <w:color w:val="auto"/>
          <w:sz w:val="20"/>
          <w:szCs w:val="20"/>
          <w:u w:val="none"/>
        </w:rPr>
        <w:instrText xml:space="preserve"> DOCPROPERTY "Subject"</w:instrText>
      </w:r>
      <w:r>
        <w:rPr>
          <w:b/>
          <w:bCs/>
          <w:strike w:val="false"/>
          <w:dstrike w:val="false"/>
          <w:color w:val="auto"/>
          <w:sz w:val="20"/>
          <w:szCs w:val="20"/>
          <w:u w:val="none"/>
        </w:rPr>
        <w:fldChar w:fldCharType="separate"/>
      </w:r>
      <w:r>
        <w:rPr>
          <w:b/>
          <w:bCs/>
          <w:strike w:val="false"/>
          <w:dstrike w:val="false"/>
          <w:color w:val="auto"/>
          <w:sz w:val="20"/>
          <w:szCs w:val="20"/>
          <w:u w:val="none"/>
        </w:rPr>
        <w:t>CDC Book Entry Conversion</w:t>
      </w:r>
      <w:r>
        <w:rPr>
          <w:b/>
          <w:bCs/>
          <w:strike w:val="false"/>
          <w:dstrike w:val="false"/>
          <w:color w:val="auto"/>
          <w:sz w:val="20"/>
          <w:szCs w:val="20"/>
          <w:u w:val="none"/>
        </w:rPr>
        <w:fldChar w:fldCharType="end"/>
      </w:r>
    </w:p>
    <w:p>
      <w:pPr>
        <w:pStyle w:val="Default"/>
        <w:numPr>
          <w:ilvl w:val="0"/>
          <w:numId w:val="2"/>
        </w:numPr>
        <w:tabs>
          <w:tab w:val="clear" w:pos="720"/>
          <w:tab w:val="left" w:pos="400" w:leader="none"/>
        </w:tabs>
        <w:bidi w:val="0"/>
        <w:jc w:val="both"/>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Service Industries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SRVI</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900980</w:t>
      </w:r>
      <w:r>
        <w:rPr>
          <w:b/>
          <w:bCs/>
          <w:sz w:val="20"/>
          <w:szCs w:val="20"/>
        </w:rPr>
        <w:fldChar w:fldCharType="end"/>
      </w:r>
    </w:p>
    <w:p>
      <w:pPr>
        <w:pStyle w:val="Default"/>
        <w:tabs>
          <w:tab w:val="clear" w:pos="720"/>
          <w:tab w:val="left" w:pos="400" w:leader="none"/>
        </w:tabs>
        <w:bidi w:val="0"/>
        <w:jc w:val="both"/>
        <w:rPr>
          <w:b/>
          <w:bCs/>
          <w:sz w:val="20"/>
          <w:szCs w:val="20"/>
        </w:rPr>
      </w:pPr>
      <w:r>
        <w:rPr>
          <w:b/>
          <w:bCs/>
          <w:sz w:val="20"/>
          <w:szCs w:val="20"/>
        </w:rPr>
      </w:r>
    </w:p>
    <w:p>
      <w:pPr>
        <w:pStyle w:val="Default"/>
        <w:tabs>
          <w:tab w:val="clear" w:pos="720"/>
          <w:tab w:val="left" w:pos="400" w:leader="none"/>
        </w:tabs>
        <w:bidi w:val="0"/>
        <w:jc w:val="both"/>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both"/>
        <w:rPr>
          <w:rFonts w:ascii="Calibri" w:hAnsi="Calibri"/>
          <w:b w:val="false"/>
          <w:strike w:val="false"/>
          <w:dstrike w:val="false"/>
          <w:color w:val="auto"/>
          <w:sz w:val="12"/>
          <w:szCs w:val="20"/>
          <w:u w:val="none"/>
        </w:rPr>
      </w:pPr>
      <w:r>
        <w:rPr>
          <w:b w:val="false"/>
          <w:strike w:val="false"/>
          <w:dstrike w:val="false"/>
          <w:color w:val="auto"/>
          <w:sz w:val="12"/>
          <w:szCs w:val="20"/>
          <w:u w:val="none"/>
        </w:rPr>
      </w:r>
    </w:p>
    <w:p>
      <w:pPr>
        <w:pStyle w:val="Default"/>
        <w:tabs>
          <w:tab w:val="clear" w:pos="720"/>
          <w:tab w:val="left" w:pos="400" w:leader="none"/>
        </w:tabs>
        <w:bidi w:val="0"/>
        <w:jc w:val="both"/>
        <w:rPr>
          <w:b w:val="false"/>
          <w:strike w:val="false"/>
          <w:dstrike w:val="false"/>
          <w:color w:val="auto"/>
          <w:sz w:val="20"/>
          <w:szCs w:val="20"/>
          <w:u w:val="none"/>
        </w:rPr>
      </w:pPr>
      <w:r>
        <w:rPr>
          <w:b w:val="false"/>
          <w:strike w:val="false"/>
          <w:dstrike w:val="false"/>
          <w:color w:val="auto"/>
          <w:sz w:val="20"/>
          <w:szCs w:val="20"/>
          <w:u w:val="none"/>
        </w:rPr>
        <w:t xml:space="preserve">This comes </w:t>
      </w:r>
      <w:r>
        <w:rPr>
          <w:b w:val="false"/>
          <w:strike w:val="false"/>
          <w:dstrike w:val="false"/>
          <w:color w:val="auto"/>
          <w:sz w:val="20"/>
          <w:szCs w:val="20"/>
          <w:u w:val="none"/>
        </w:rPr>
        <w:t>in response to</w:t>
      </w:r>
      <w:r>
        <w:rPr>
          <w:b w:val="false"/>
          <w:strike w:val="false"/>
          <w:dstrike w:val="false"/>
          <w:color w:val="auto"/>
          <w:sz w:val="20"/>
          <w:szCs w:val="20"/>
          <w:u w:val="none"/>
        </w:rPr>
        <w:t xml:space="preserve"> your letter of April 27, 2026 with regard to Transmission Case of Late Muhammad Ayub Khan. My brothers, the other legal heirs, join me with my heartiest appreciation of your prompt and meticulous handling </w:t>
      </w:r>
      <w:r>
        <w:rPr>
          <w:b w:val="false"/>
          <w:strike w:val="false"/>
          <w:dstrike w:val="false"/>
          <w:color w:val="auto"/>
          <w:sz w:val="20"/>
          <w:szCs w:val="20"/>
          <w:u w:val="none"/>
        </w:rPr>
        <w:t>of</w:t>
      </w:r>
      <w:r>
        <w:rPr>
          <w:b w:val="false"/>
          <w:strike w:val="false"/>
          <w:dstrike w:val="false"/>
          <w:color w:val="auto"/>
          <w:sz w:val="20"/>
          <w:szCs w:val="20"/>
          <w:u w:val="none"/>
        </w:rPr>
        <w:t xml:space="preserve"> the said case </w:t>
      </w:r>
      <w:r>
        <w:rPr>
          <w:b w:val="false"/>
          <w:strike w:val="false"/>
          <w:dstrike w:val="false"/>
          <w:color w:val="auto"/>
          <w:sz w:val="20"/>
          <w:szCs w:val="20"/>
          <w:u w:val="none"/>
        </w:rPr>
        <w:t xml:space="preserve">and </w:t>
      </w:r>
      <w:r>
        <w:rPr>
          <w:b w:val="false"/>
          <w:strike w:val="false"/>
          <w:dstrike w:val="false"/>
          <w:color w:val="auto"/>
          <w:sz w:val="20"/>
          <w:szCs w:val="20"/>
          <w:u w:val="none"/>
        </w:rPr>
        <w:t xml:space="preserve"> </w:t>
      </w:r>
      <w:r>
        <w:rPr>
          <w:b w:val="false"/>
          <w:strike w:val="false"/>
          <w:dstrike w:val="false"/>
          <w:color w:val="auto"/>
          <w:sz w:val="20"/>
          <w:szCs w:val="20"/>
          <w:u w:val="none"/>
        </w:rPr>
        <w:t>acknowledg</w:t>
      </w:r>
      <w:r>
        <w:rPr>
          <w:b w:val="false"/>
          <w:strike w:val="false"/>
          <w:dstrike w:val="false"/>
          <w:color w:val="auto"/>
          <w:sz w:val="20"/>
          <w:szCs w:val="20"/>
          <w:u w:val="none"/>
        </w:rPr>
        <w:t>e</w:t>
      </w:r>
      <w:r>
        <w:rPr>
          <w:b w:val="false"/>
          <w:strike w:val="false"/>
          <w:dstrike w:val="false"/>
          <w:color w:val="auto"/>
          <w:sz w:val="20"/>
          <w:szCs w:val="20"/>
          <w:u w:val="none"/>
        </w:rPr>
        <w:t xml:space="preserve"> receiving </w:t>
      </w:r>
      <w:r>
        <w:rPr>
          <w:b w:val="false"/>
          <w:strike w:val="false"/>
          <w:dstrike w:val="false"/>
          <w:color w:val="auto"/>
          <w:sz w:val="20"/>
          <w:szCs w:val="20"/>
          <w:u w:val="none"/>
        </w:rPr>
        <w:t xml:space="preserve">the </w:t>
      </w:r>
      <w:r>
        <w:rPr>
          <w:b w:val="false"/>
          <w:strike w:val="false"/>
          <w:dstrike w:val="false"/>
          <w:color w:val="auto"/>
          <w:sz w:val="20"/>
          <w:szCs w:val="20"/>
          <w:u w:val="none"/>
        </w:rPr>
        <w:t xml:space="preserve">physical share certificate with </w:t>
      </w:r>
      <w:r>
        <w:rPr>
          <w:b w:val="false"/>
          <w:strike w:val="false"/>
          <w:dstrike w:val="false"/>
          <w:color w:val="auto"/>
          <w:sz w:val="20"/>
          <w:szCs w:val="20"/>
          <w:u w:val="none"/>
        </w:rPr>
        <w:t xml:space="preserve">ownership duly transferred in </w:t>
      </w:r>
      <w:r>
        <w:rPr>
          <w:b w:val="false"/>
          <w:strike w:val="false"/>
          <w:dstrike w:val="false"/>
          <w:color w:val="auto"/>
          <w:sz w:val="20"/>
          <w:szCs w:val="20"/>
          <w:u w:val="none"/>
        </w:rPr>
        <w:t>their</w:t>
      </w:r>
      <w:r>
        <w:rPr>
          <w:b w:val="false"/>
          <w:strike w:val="false"/>
          <w:dstrike w:val="false"/>
          <w:color w:val="auto"/>
          <w:sz w:val="20"/>
          <w:szCs w:val="20"/>
          <w:u w:val="none"/>
        </w:rPr>
        <w:t xml:space="preserve"> respective names.</w:t>
      </w:r>
    </w:p>
    <w:p>
      <w:pPr>
        <w:pStyle w:val="Default"/>
        <w:tabs>
          <w:tab w:val="clear" w:pos="720"/>
          <w:tab w:val="left" w:pos="400" w:leader="none"/>
        </w:tabs>
        <w:bidi w:val="0"/>
        <w:jc w:val="both"/>
        <w:rPr>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b w:val="false"/>
          <w:strike w:val="false"/>
          <w:dstrike w:val="false"/>
          <w:color w:val="auto"/>
          <w:sz w:val="20"/>
          <w:szCs w:val="20"/>
          <w:u w:val="none"/>
        </w:rPr>
      </w:pPr>
      <w:r>
        <w:rPr>
          <w:b w:val="false"/>
          <w:strike w:val="false"/>
          <w:dstrike w:val="false"/>
          <w:color w:val="auto"/>
          <w:sz w:val="20"/>
          <w:szCs w:val="20"/>
          <w:u w:val="none"/>
        </w:rPr>
        <w:t xml:space="preserve">Thereafter, moving forward in connection to the captioned subject, please advise how </w:t>
      </w:r>
      <w:r>
        <w:rPr>
          <w:b w:val="false"/>
          <w:strike w:val="false"/>
          <w:dstrike w:val="false"/>
          <w:color w:val="auto"/>
          <w:sz w:val="20"/>
          <w:szCs w:val="20"/>
          <w:u w:val="none"/>
        </w:rPr>
        <w:t>shall I proceed with converting the physical shares in my hands into Book-Entry form with the Central Depository Commission, CDC?</w:t>
      </w:r>
    </w:p>
    <w:p>
      <w:pPr>
        <w:pStyle w:val="Default"/>
        <w:tabs>
          <w:tab w:val="clear" w:pos="720"/>
          <w:tab w:val="left" w:pos="400" w:leader="none"/>
        </w:tabs>
        <w:bidi w:val="0"/>
        <w:jc w:val="both"/>
        <w:rPr>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b w:val="false"/>
          <w:strike w:val="false"/>
          <w:dstrike w:val="false"/>
          <w:color w:val="auto"/>
          <w:sz w:val="20"/>
          <w:szCs w:val="20"/>
          <w:u w:val="none"/>
        </w:rPr>
      </w:pPr>
      <w:r>
        <w:rPr>
          <w:b w:val="false"/>
          <w:strike w:val="false"/>
          <w:dstrike w:val="false"/>
          <w:color w:val="auto"/>
          <w:sz w:val="20"/>
          <w:szCs w:val="20"/>
          <w:u w:val="none"/>
        </w:rPr>
      </w:r>
    </w:p>
    <w:p>
      <w:pPr>
        <w:pStyle w:val="Normal"/>
        <w:tabs>
          <w:tab w:val="clear" w:pos="720"/>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12"/>
          <w:szCs w:val="20"/>
          <w:u w:val="none"/>
        </w:rPr>
      </w:r>
    </w:p>
    <w:p>
      <w:pPr>
        <w:pStyle w:val="Default"/>
        <w:tabs>
          <w:tab w:val="clear" w:pos="720"/>
          <w:tab w:val="left" w:pos="400" w:leader="none"/>
        </w:tabs>
        <w:bidi w:val="0"/>
        <w:jc w:val="both"/>
        <w:rPr/>
      </w:pPr>
      <w:r>
        <w:rPr>
          <w:b w:val="false"/>
          <w:strike w:val="false"/>
          <w:dstrike w:val="false"/>
          <w:color w:val="auto"/>
          <w:sz w:val="20"/>
          <w:szCs w:val="20"/>
          <w:u w:val="none"/>
        </w:rPr>
        <w:t>Thank you and with kind regards.</w:t>
      </w:r>
    </w:p>
    <w:p>
      <w:pPr>
        <w:pStyle w:val="Default"/>
        <w:tabs>
          <w:tab w:val="clear" w:pos="720"/>
          <w:tab w:val="left" w:pos="400" w:leader="none"/>
        </w:tabs>
        <w:bidi w:val="0"/>
        <w:jc w:val="both"/>
        <w:rPr>
          <w:rFonts w:ascii="Calibri" w:hAnsi="Calibri"/>
          <w:sz w:val="12"/>
          <w:szCs w:val="20"/>
        </w:rPr>
      </w:pPr>
      <w:r>
        <w:rPr>
          <w:sz w:val="12"/>
          <w:szCs w:val="20"/>
        </w:rPr>
        <w:drawing>
          <wp:anchor distT="0" distB="0" distL="0" distR="0" simplePos="0" relativeHeight="2" behindDoc="0" locked="0" layoutInCell="1" allowOverlap="1">
            <wp:simplePos x="0" y="0"/>
            <wp:positionH relativeFrom="column">
              <wp:posOffset>0</wp:posOffset>
            </wp:positionH>
            <wp:positionV relativeFrom="paragraph">
              <wp:posOffset>71120</wp:posOffset>
            </wp:positionV>
            <wp:extent cx="1151890" cy="467995"/>
            <wp:effectExtent l="17780" t="48895" r="17780" b="48895"/>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rot="21300000">
                      <a:off x="0" y="0"/>
                      <a:ext cx="1151890" cy="467995"/>
                    </a:xfrm>
                    <a:prstGeom prst="rect">
                      <a:avLst/>
                    </a:prstGeom>
                    <a:noFill/>
                  </pic:spPr>
                </pic:pic>
              </a:graphicData>
            </a:graphic>
          </wp:anchor>
        </w:drawing>
      </w:r>
    </w:p>
    <w:p>
      <w:pPr>
        <w:pStyle w:val="Default"/>
        <w:tabs>
          <w:tab w:val="clear" w:pos="720"/>
          <w:tab w:val="left" w:pos="400" w:leader="none"/>
        </w:tabs>
        <w:bidi w:val="0"/>
        <w:jc w:val="both"/>
        <w:rPr>
          <w:rFonts w:ascii="Calibri" w:hAnsi="Calibri"/>
          <w:sz w:val="12"/>
          <w:szCs w:val="20"/>
        </w:rPr>
      </w:pPr>
      <w:r>
        <w:rPr>
          <w:sz w:val="12"/>
          <w:szCs w:val="20"/>
        </w:rPr>
      </w:r>
    </w:p>
    <w:p>
      <w:pPr>
        <w:pStyle w:val="Default"/>
        <w:tabs>
          <w:tab w:val="clear" w:pos="720"/>
          <w:tab w:val="left" w:pos="400" w:leader="none"/>
        </w:tabs>
        <w:bidi w:val="0"/>
        <w:jc w:val="both"/>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5255"/>
        <w:gridCol w:w="5257"/>
      </w:tblGrid>
      <w:tr>
        <w:trPr/>
        <w:tc>
          <w:tcPr>
            <w:tcW w:w="5255" w:type="dxa"/>
            <w:tcBorders/>
          </w:tcPr>
          <w:p>
            <w:pPr>
              <w:pStyle w:val="Default"/>
              <w:tabs>
                <w:tab w:val="clear" w:pos="720"/>
                <w:tab w:val="left" w:pos="400" w:leader="none"/>
              </w:tabs>
              <w:bidi w:val="0"/>
              <w:jc w:val="both"/>
              <w:rPr/>
            </w:pPr>
            <w:r>
              <w:rPr>
                <w:b/>
                <w:bCs/>
                <w:strike w:val="false"/>
                <w:dstrike w:val="false"/>
                <w:color w:val="auto"/>
                <w:sz w:val="20"/>
                <w:szCs w:val="20"/>
                <w:u w:val="none"/>
              </w:rPr>
              <w:t>Muhammad Ilyas Khan</w:t>
            </w:r>
          </w:p>
          <w:p>
            <w:pPr>
              <w:pStyle w:val="Default"/>
              <w:tabs>
                <w:tab w:val="clear" w:pos="720"/>
                <w:tab w:val="left" w:pos="400" w:leader="none"/>
              </w:tabs>
              <w:bidi w:val="0"/>
              <w:jc w:val="both"/>
              <w:rPr/>
            </w:pPr>
            <w:r>
              <w:rPr>
                <w:b w:val="false"/>
                <w:strike w:val="false"/>
                <w:dstrike w:val="false"/>
                <w:color w:val="auto"/>
                <w:sz w:val="20"/>
                <w:szCs w:val="20"/>
                <w:u w:val="none"/>
              </w:rPr>
              <w:t>21, Ghulam Nabi Colony</w:t>
            </w:r>
          </w:p>
          <w:p>
            <w:pPr>
              <w:pStyle w:val="Default"/>
              <w:tabs>
                <w:tab w:val="clear" w:pos="720"/>
                <w:tab w:val="left" w:pos="400" w:leader="none"/>
              </w:tabs>
              <w:bidi w:val="0"/>
              <w:jc w:val="both"/>
              <w:rPr/>
            </w:pPr>
            <w:r>
              <w:rPr>
                <w:b w:val="false"/>
                <w:strike w:val="false"/>
                <w:dstrike w:val="false"/>
                <w:color w:val="auto"/>
                <w:sz w:val="20"/>
                <w:szCs w:val="20"/>
                <w:u w:val="none"/>
              </w:rPr>
              <w:t>Samanabad, Lahore, 54500</w:t>
            </w:r>
          </w:p>
        </w:tc>
        <w:tc>
          <w:tcPr>
            <w:tcW w:w="5257" w:type="dxa"/>
            <w:tcBorders/>
          </w:tcPr>
          <w:p>
            <w:pPr>
              <w:pStyle w:val="Default"/>
              <w:tabs>
                <w:tab w:val="clear" w:pos="720"/>
                <w:tab w:val="left" w:pos="400" w:leader="none"/>
              </w:tabs>
              <w:bidi w:val="0"/>
              <w:jc w:val="both"/>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both"/>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both"/>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both"/>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864" w:right="864" w:gutter="0" w:header="648" w:top="1175" w:footer="648" w:bottom="1207"/>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2517"/>
      <w:gridCol w:w="7458"/>
    </w:tblGrid>
    <w:tr>
      <w:trPr>
        <w:trHeight w:val="367" w:hRule="atLeast"/>
      </w:trPr>
      <w:tc>
        <w:tcPr>
          <w:tcW w:w="2517" w:type="dxa"/>
          <w:tcBorders/>
        </w:tcPr>
        <w:p>
          <w:pPr>
            <w:pStyle w:val="Default"/>
            <w:tabs>
              <w:tab w:val="clear" w:pos="720"/>
              <w:tab w:val="left" w:pos="400" w:leader="none"/>
            </w:tabs>
            <w:bidi w:val="0"/>
            <w:jc w:val="start"/>
            <w:rPr>
              <w:rFonts w:ascii="Arial" w:hAnsi="Arial"/>
              <w:i w:val="false"/>
              <w:caps w:val="false"/>
              <w:smallCaps w:val="false"/>
              <w:color w:val="auto"/>
              <w:sz w:val="14"/>
              <w:szCs w:val="14"/>
            </w:rPr>
          </w:pPr>
          <w:r>
            <w:rPr>
              <w:rFonts w:ascii="Arial" w:hAnsi="Arial"/>
              <w:i w:val="false"/>
              <w:caps w:val="false"/>
              <w:smallCaps w:val="false"/>
              <w:color w:val="auto"/>
              <w:sz w:val="14"/>
              <w:szCs w:val="14"/>
            </w:rPr>
          </w:r>
        </w:p>
      </w:tc>
      <w:tc>
        <w:tcPr>
          <w:tcW w:w="7458" w:type="dxa"/>
          <w:tcBorders/>
        </w:tcPr>
        <w:tbl>
          <w:tblPr>
            <w:tblW w:w="5000" w:type="pct"/>
            <w:jc w:val="start"/>
            <w:tblInd w:w="0" w:type="dxa"/>
            <w:tblLayout w:type="fixed"/>
            <w:tblCellMar>
              <w:top w:w="29" w:type="dxa"/>
              <w:start w:w="29" w:type="dxa"/>
              <w:bottom w:w="29" w:type="dxa"/>
              <w:end w:w="29" w:type="dxa"/>
            </w:tblCellMar>
          </w:tblPr>
          <w:tblGrid>
            <w:gridCol w:w="3699"/>
            <w:gridCol w:w="3701"/>
          </w:tblGrid>
          <w:tr>
            <w:trPr/>
            <w:tc>
              <w:tcPr>
                <w:tcW w:w="3699" w:type="dxa"/>
                <w:tcBorders/>
              </w:tcPr>
              <w:p>
                <w:pPr>
                  <w:pStyle w:val="TableContents"/>
                  <w:ind w:hanging="0" w:start="0"/>
                  <w:jc w:val="end"/>
                  <w:rPr>
                    <w:sz w:val="14"/>
                    <w:szCs w:val="14"/>
                  </w:rPr>
                </w:pPr>
                <w:r>
                  <w:rPr>
                    <w:sz w:val="14"/>
                    <w:szCs w:val="14"/>
                  </w:rPr>
                </w:r>
              </w:p>
            </w:tc>
            <w:tc>
              <w:tcPr>
                <w:tcW w:w="3701" w:type="dxa"/>
                <w:tcBorders/>
              </w:tcPr>
              <w:p>
                <w:pPr>
                  <w:pStyle w:val="TableContents"/>
                  <w:ind w:hanging="0" w:start="0"/>
                  <w:jc w:val="end"/>
                  <w:rPr>
                    <w:sz w:val="14"/>
                    <w:szCs w:val="14"/>
                  </w:rPr>
                </w:pPr>
                <w:r>
                  <w:rPr>
                    <w:sz w:val="14"/>
                    <w:szCs w:val="14"/>
                  </w:rPr>
                </w:r>
              </w:p>
            </w:tc>
          </w:tr>
        </w:tbl>
        <w:p>
          <w:pPr>
            <w:pStyle w:val="TableContents"/>
            <w:bidi w:val="0"/>
            <w:ind w:hanging="0" w:start="0"/>
            <w:jc w:val="start"/>
            <w:rPr>
              <w:sz w:val="14"/>
              <w:szCs w:val="14"/>
            </w:rPr>
          </w:pPr>
          <w:r>
            <w:rPr>
              <w:sz w:val="14"/>
              <w:szCs w:val="14"/>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2517"/>
      <w:gridCol w:w="7458"/>
    </w:tblGrid>
    <w:tr>
      <w:trPr>
        <w:trHeight w:val="367" w:hRule="atLeast"/>
      </w:trPr>
      <w:tc>
        <w:tcPr>
          <w:tcW w:w="2517" w:type="dxa"/>
          <w:tcBorders/>
        </w:tcPr>
        <w:p>
          <w:pPr>
            <w:pStyle w:val="Default"/>
            <w:tabs>
              <w:tab w:val="clear" w:pos="720"/>
              <w:tab w:val="left" w:pos="400" w:leader="none"/>
            </w:tabs>
            <w:bidi w:val="0"/>
            <w:jc w:val="start"/>
            <w:rPr>
              <w:rFonts w:ascii="Arial" w:hAnsi="Arial"/>
              <w:i w:val="false"/>
              <w:caps w:val="false"/>
              <w:smallCaps w:val="false"/>
              <w:color w:val="auto"/>
              <w:sz w:val="14"/>
              <w:szCs w:val="14"/>
            </w:rPr>
          </w:pPr>
          <w:r>
            <w:rPr>
              <w:rFonts w:ascii="Arial" w:hAnsi="Arial"/>
              <w:i w:val="false"/>
              <w:caps w:val="false"/>
              <w:smallCaps w:val="false"/>
              <w:color w:val="auto"/>
              <w:sz w:val="14"/>
              <w:szCs w:val="14"/>
            </w:rPr>
          </w:r>
        </w:p>
      </w:tc>
      <w:tc>
        <w:tcPr>
          <w:tcW w:w="7458" w:type="dxa"/>
          <w:tcBorders/>
        </w:tcPr>
        <w:tbl>
          <w:tblPr>
            <w:tblW w:w="5000" w:type="pct"/>
            <w:jc w:val="start"/>
            <w:tblInd w:w="0" w:type="dxa"/>
            <w:tblLayout w:type="fixed"/>
            <w:tblCellMar>
              <w:top w:w="29" w:type="dxa"/>
              <w:start w:w="29" w:type="dxa"/>
              <w:bottom w:w="29" w:type="dxa"/>
              <w:end w:w="29" w:type="dxa"/>
            </w:tblCellMar>
          </w:tblPr>
          <w:tblGrid>
            <w:gridCol w:w="3699"/>
            <w:gridCol w:w="3701"/>
          </w:tblGrid>
          <w:tr>
            <w:trPr/>
            <w:tc>
              <w:tcPr>
                <w:tcW w:w="3699" w:type="dxa"/>
                <w:tcBorders/>
              </w:tcPr>
              <w:p>
                <w:pPr>
                  <w:pStyle w:val="TableContents"/>
                  <w:ind w:hanging="0" w:start="0"/>
                  <w:jc w:val="end"/>
                  <w:rPr>
                    <w:sz w:val="14"/>
                    <w:szCs w:val="14"/>
                  </w:rPr>
                </w:pPr>
                <w:r>
                  <w:rPr>
                    <w:sz w:val="14"/>
                    <w:szCs w:val="14"/>
                  </w:rPr>
                </w:r>
              </w:p>
            </w:tc>
            <w:tc>
              <w:tcPr>
                <w:tcW w:w="3701" w:type="dxa"/>
                <w:tcBorders/>
              </w:tcPr>
              <w:p>
                <w:pPr>
                  <w:pStyle w:val="TableContents"/>
                  <w:ind w:hanging="0" w:start="0"/>
                  <w:jc w:val="end"/>
                  <w:rPr>
                    <w:sz w:val="14"/>
                    <w:szCs w:val="14"/>
                  </w:rPr>
                </w:pPr>
                <w:r>
                  <w:rPr>
                    <w:sz w:val="14"/>
                    <w:szCs w:val="14"/>
                  </w:rPr>
                </w:r>
              </w:p>
            </w:tc>
          </w:tr>
        </w:tbl>
        <w:p>
          <w:pPr>
            <w:pStyle w:val="TableContents"/>
            <w:bidi w:val="0"/>
            <w:ind w:hanging="0" w:start="0"/>
            <w:jc w:val="start"/>
            <w:rPr>
              <w:sz w:val="14"/>
              <w:szCs w:val="14"/>
            </w:rPr>
          </w:pPr>
          <w:r>
            <w:rPr>
              <w:sz w:val="14"/>
              <w:szCs w:val="14"/>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5106</TotalTime>
  <Application>LibreOffice/26.2.1.2$Windows_X86_64 LibreOffice_project/620$Build-2</Application>
  <AppVersion>15.0000</AppVersion>
  <Pages>1</Pages>
  <Words>151</Words>
  <Characters>853</Characters>
  <CharactersWithSpaces>986</CharactersWithSpaces>
  <Paragraphs>19</Paragraphs>
  <Company>Service Industries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2024-12-28T19:31:10Z</cp:lastPrinted>
  <dcterms:modified xsi:type="dcterms:W3CDTF">2026-04-29T09:43:43Z</dcterms:modified>
  <cp:revision>719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SRVI</vt:lpwstr>
  </property>
  <property fmtid="{D5CDD505-2E9C-101B-9397-08002B2CF9AE}" pid="3" name="DateOfDispatch">
    <vt:lpwstr>April 29, 2026</vt:lpwstr>
  </property>
  <property fmtid="{D5CDD505-2E9C-101B-9397-08002B2CF9AE}" pid="4" name="Folio1">
    <vt:lpwstr>900980</vt:lpwstr>
  </property>
  <property fmtid="{D5CDD505-2E9C-101B-9397-08002B2CF9AE}" pid="5" name="ReferenceReceiving">
    <vt:lpwstr>Transmission of Shares Certificates, Folio Nr.: 08-00083, Client: Service Industries Ltd.</vt:lpwstr>
  </property>
  <property fmtid="{D5CDD505-2E9C-101B-9397-08002B2CF9AE}" pid="6" name="ReferenceSending">
    <vt:lpwstr>2601</vt:lpwstr>
  </property>
  <property fmtid="{D5CDD505-2E9C-101B-9397-08002B2CF9AE}" pid="7" name="Subject">
    <vt:lpwstr>CDC Book Entry Conversion</vt:lpwstr>
  </property>
  <property fmtid="{D5CDD505-2E9C-101B-9397-08002B2CF9AE}" pid="8" name="TotalShares">
    <vt:lpwstr>330</vt:lpwstr>
  </property>
</Properties>
</file>