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195"/>
        <w:gridCol w:w="2777"/>
      </w:tblGrid>
      <w:tr>
        <w:trPr/>
        <w:tc>
          <w:tcPr>
            <w:tcW w:w="7195" w:type="dxa"/>
            <w:tcBorders/>
          </w:tcPr>
          <w:p>
            <w:pPr>
              <w:pStyle w:val="TableContents"/>
              <w:ind w:hanging="0" w:start="0"/>
              <w:rPr/>
            </w:pPr>
            <w:r>
              <w:rPr/>
            </w:r>
          </w:p>
        </w:tc>
        <w:tc>
          <w:tcPr>
            <w:tcW w:w="277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/>
            </w:pPr>
            <w:r>
              <w:rPr>
                <w:color w:val="auto"/>
                <w:sz w:val="20"/>
                <w:szCs w:val="20"/>
                <w:u w:val="none"/>
              </w:rPr>
              <w:fldChar w:fldCharType="begin"/>
            </w:r>
            <w:r>
              <w:rPr>
                <w:color w:val="auto"/>
                <w:sz w:val="20"/>
                <w:szCs w:val="20"/>
                <w:u w:val="none"/>
              </w:rPr>
              <w:instrText xml:space="preserve"> DOCPROPERTY "DateOfDispatch"</w:instrText>
            </w:r>
            <w:r>
              <w:rPr>
                <w:color w:val="auto"/>
                <w:sz w:val="20"/>
                <w:szCs w:val="20"/>
                <w:u w:val="none"/>
              </w:rPr>
              <w:fldChar w:fldCharType="separate"/>
            </w:r>
            <w:r>
              <w:rPr>
                <w:color w:val="auto"/>
                <w:sz w:val="20"/>
                <w:szCs w:val="20"/>
                <w:u w:val="none"/>
              </w:rPr>
              <w:t>2-June-2026</w:t>
            </w:r>
            <w:r>
              <w:rPr>
                <w:color w:val="auto"/>
                <w:sz w:val="20"/>
                <w:szCs w:val="20"/>
                <w:u w:val="none"/>
              </w:rPr>
              <w:fldChar w:fldCharType="end"/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</w:pP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fldChar w:fldCharType="begin"/>
            </w: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instrText xml:space="preserve"> DOCPROPERTY "ReferenceRecipient"</w:instrText>
            </w: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fldChar w:fldCharType="separate"/>
            </w: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t>LCI-AKZO-LCPL-61463-2603</w:t>
            </w:r>
            <w:r>
              <w:rPr>
                <w:i w:val="false"/>
                <w:caps w:val="false"/>
                <w:smallCaps w:val="false"/>
                <w:color w:val="auto"/>
                <w:sz w:val="20"/>
                <w:szCs w:val="20"/>
                <w:u w:val="none"/>
              </w:rPr>
              <w:fldChar w:fldCharType="end"/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Shares and Unclaimed Dividends of Late Mohammad Ayub Khan against Folio #: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61463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 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LUCKY CORE INDUSTRIES LIMITED (FORMERLY: ICI PAKISTAN LIMITED)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t>AKZO NOBEL PAKISTAN LIMITED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t>LOTTE CHEMICAL PAKISTAN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"ReferenceSender1"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ICI - 17520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"ReferenceSender2"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AKZO - 8567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"ReferenceSender3"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LCPL - 159971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Correction / Cutting in the Letter of Indemnity is authenticated and carried out by affixing the signatures of the applicant and two (2) guarantors;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You may kindly note, that the said correction is written in the pencil, as received in your referenced letter;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You may proceed as deemed fit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write the distinctive numbers with a pen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to move forward since authentication has been carried out;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the corrigendum published in Leading Newspaper: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The Nation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dated,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May 30, 2026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page number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"NewsPaperEngPageColNr"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4, column number 2, under Ad Guide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Colony, 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5267</TotalTime>
  <Application>LibreOffice/26.2.1.2$Windows_X86_64 LibreOffice_project/620$Build-2</Application>
  <AppVersion>15.0000</AppVersion>
  <Pages>1</Pages>
  <Words>202</Words>
  <Characters>1107</Characters>
  <CharactersWithSpaces>1278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2026-06-01T20:12:37Z</dcterms:modified>
  <cp:revision>729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1">
    <vt:lpwstr>LUCKY CORE INDUSTRIES LIMITED (FORMERLY: ICI PAKISTAN LIMITED)</vt:lpwstr>
  </property>
  <property fmtid="{D5CDD505-2E9C-101B-9397-08002B2CF9AE}" pid="3" name="Company2">
    <vt:lpwstr>AKZO NOBEL PAKISTAN LIMITED</vt:lpwstr>
  </property>
  <property fmtid="{D5CDD505-2E9C-101B-9397-08002B2CF9AE}" pid="4" name="Company3">
    <vt:lpwstr>LOTTE CHEMICAL PAKISTAN LIMITED</vt:lpwstr>
  </property>
  <property fmtid="{D5CDD505-2E9C-101B-9397-08002B2CF9AE}" pid="5" name="DateOfDispatch">
    <vt:lpwstr>2-June-2026</vt:lpwstr>
  </property>
  <property fmtid="{D5CDD505-2E9C-101B-9397-08002B2CF9AE}" pid="6" name="FatherCNIC">
    <vt:lpwstr>35200-1521538-7</vt:lpwstr>
  </property>
  <property fmtid="{D5CDD505-2E9C-101B-9397-08002B2CF9AE}" pid="7" name="Folio1">
    <vt:lpwstr>61463</vt:lpwstr>
  </property>
  <property fmtid="{D5CDD505-2E9C-101B-9397-08002B2CF9AE}" pid="8" name="Folio1Available">
    <vt:lpwstr/>
  </property>
  <property fmtid="{D5CDD505-2E9C-101B-9397-08002B2CF9AE}" pid="9" name="Folio1Missing">
    <vt:lpwstr>99</vt:lpwstr>
  </property>
  <property fmtid="{D5CDD505-2E9C-101B-9397-08002B2CF9AE}" pid="10" name="Folio1Total">
    <vt:lpwstr/>
  </property>
  <property fmtid="{D5CDD505-2E9C-101B-9397-08002B2CF9AE}" pid="11" name="Folio2">
    <vt:lpwstr/>
  </property>
  <property fmtid="{D5CDD505-2E9C-101B-9397-08002B2CF9AE}" pid="12" name="Folio2Available">
    <vt:lpwstr/>
  </property>
  <property fmtid="{D5CDD505-2E9C-101B-9397-08002B2CF9AE}" pid="13" name="Folio2Missing">
    <vt:lpwstr>49</vt:lpwstr>
  </property>
  <property fmtid="{D5CDD505-2E9C-101B-9397-08002B2CF9AE}" pid="14" name="Folio2Total">
    <vt:lpwstr/>
  </property>
  <property fmtid="{D5CDD505-2E9C-101B-9397-08002B2CF9AE}" pid="15" name="Folio3">
    <vt:lpwstr/>
  </property>
  <property fmtid="{D5CDD505-2E9C-101B-9397-08002B2CF9AE}" pid="16" name="Folio3Available">
    <vt:lpwstr/>
  </property>
  <property fmtid="{D5CDD505-2E9C-101B-9397-08002B2CF9AE}" pid="17" name="Folio3Missing">
    <vt:lpwstr>408</vt:lpwstr>
  </property>
  <property fmtid="{D5CDD505-2E9C-101B-9397-08002B2CF9AE}" pid="18" name="Folio3Total">
    <vt:lpwstr/>
  </property>
  <property fmtid="{D5CDD505-2E9C-101B-9397-08002B2CF9AE}" pid="19" name="NewsPaperDate">
    <vt:lpwstr>May 30, 2026</vt:lpwstr>
  </property>
  <property fmtid="{D5CDD505-2E9C-101B-9397-08002B2CF9AE}" pid="20" name="NewsPaperEng">
    <vt:lpwstr>The Nation</vt:lpwstr>
  </property>
  <property fmtid="{D5CDD505-2E9C-101B-9397-08002B2CF9AE}" pid="21" name="NewsPaperEngPageColNr">
    <vt:lpwstr>4, column number 2, under Ad Guide</vt:lpwstr>
  </property>
  <property fmtid="{D5CDD505-2E9C-101B-9397-08002B2CF9AE}" pid="22" name="NewsPaperUrdu">
    <vt:lpwstr/>
  </property>
  <property fmtid="{D5CDD505-2E9C-101B-9397-08002B2CF9AE}" pid="23" name="ReferenceRecipient">
    <vt:lpwstr>LCI-AKZO-LCPL-61463-2603</vt:lpwstr>
  </property>
  <property fmtid="{D5CDD505-2E9C-101B-9397-08002B2CF9AE}" pid="24" name="ReferenceSender1">
    <vt:lpwstr>ICI - 17520</vt:lpwstr>
  </property>
  <property fmtid="{D5CDD505-2E9C-101B-9397-08002B2CF9AE}" pid="25" name="ReferenceSender2">
    <vt:lpwstr>AKZO - 8567</vt:lpwstr>
  </property>
  <property fmtid="{D5CDD505-2E9C-101B-9397-08002B2CF9AE}" pid="26" name="ReferenceSender3">
    <vt:lpwstr>LCPL - 159971</vt:lpwstr>
  </property>
  <property fmtid="{D5CDD505-2E9C-101B-9397-08002B2CF9AE}" pid="27" name="Ticker">
    <vt:lpwstr>LCI</vt:lpwstr>
  </property>
</Properties>
</file>