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wmf" ContentType="image/x-w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tabs>
          <w:tab w:val="clear" w:pos="720"/>
          <w:tab w:val="left" w:pos="400" w:leader="none"/>
        </w:tabs>
        <w:bidi w:val="0"/>
        <w:jc w:val="start"/>
        <w:rPr/>
      </w:pPr>
      <w:r>
        <mc:AlternateContent>
          <mc:Choice Requires="wps">
            <w:drawing>
              <wp:anchor distT="0" distB="0" distL="0" distR="0" simplePos="0" relativeHeight="3" behindDoc="0" locked="0" layoutInCell="1" allowOverlap="1">
                <wp:simplePos x="0" y="0"/>
                <wp:positionH relativeFrom="column">
                  <wp:posOffset>5085080</wp:posOffset>
                </wp:positionH>
                <wp:positionV relativeFrom="paragraph">
                  <wp:posOffset>14605</wp:posOffset>
                </wp:positionV>
                <wp:extent cx="893445" cy="634365"/>
                <wp:effectExtent l="196850" t="100965" r="196850" b="101600"/>
                <wp:wrapNone/>
                <wp:docPr id="1" name="Text Frame 1"/>
                <a:graphic xmlns:a="http://schemas.openxmlformats.org/drawingml/2006/main">
                  <a:graphicData uri="http://schemas.microsoft.com/office/word/2010/wordprocessingShape">
                    <wps:wsp>
                      <wps:cNvSpPr txBox="1"/>
                      <wps:spPr>
                        <a:xfrm rot="3334200">
                          <a:off x="0" y="0"/>
                          <a:ext cx="893520" cy="634320"/>
                        </a:xfrm>
                        <a:prstGeom prst="rect">
                          <a:avLst/>
                        </a:prstGeom>
                        <a:noFill/>
                        <a:ln w="1801440">
                          <a:noFill/>
                        </a:ln>
                      </wps:spPr>
                      <wps:txbx>
                        <w:txbxContent>
                          <w:p>
                            <w:pPr>
                              <w:rPr/>
                            </w:pPr>
                            <w:r>
                              <w:rPr>
                                <w:rFonts w:cs="Tahoma" w:ascii="Liberation Serif" w:hAnsi="Liberation Serif"/>
                                <w:sz w:val="40"/>
                                <w:szCs w:val="40"/>
                                <w:lang w:bidi="ur-PK"/>
                              </w:rPr>
                              <w:t>C O P Y</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400.4pt;margin-top:1.15pt;width:70.3pt;height:49.9pt;mso-wrap-style:square;v-text-anchor:top;rotation:56" type="_x0000_t202">
                <v:textbox>
                  <w:txbxContent>
                    <w:p>
                      <w:pPr>
                        <w:rPr/>
                      </w:pPr>
                      <w:r>
                        <w:rPr>
                          <w:rFonts w:cs="Tahoma" w:ascii="Liberation Serif" w:hAnsi="Liberation Serif"/>
                          <w:sz w:val="40"/>
                          <w:szCs w:val="40"/>
                          <w:lang w:bidi="ur-PK"/>
                        </w:rPr>
                        <w:t>C O P Y</w:t>
                      </w:r>
                    </w:p>
                  </w:txbxContent>
                </v:textbox>
                <v:fill o:detectmouseclick="t" on="false"/>
                <v:stroke color="#3465a4" weight="1801440" joinstyle="round" endcap="flat"/>
                <w10:wrap type="none"/>
              </v:shape>
            </w:pict>
          </mc:Fallback>
        </mc:AlternateContent>
      </w:r>
      <w:r>
        <w:rPr>
          <w:rStyle w:val="Strong"/>
          <w:b w:val="false"/>
          <w:bCs w:val="false"/>
          <w:i w:val="false"/>
          <w:caps w:val="false"/>
          <w:smallCaps w:val="false"/>
          <w:color w:val="auto"/>
          <w:sz w:val="20"/>
          <w:szCs w:val="20"/>
        </w:rPr>
        <w:t>CDC SHARE REGISTRAR SERVICES LIMITED</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99-B, Block B, S.M.C.H.S.,</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Main Shahra-e-Faisal</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Karachi - 74400</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Tel: +92 0800 23275</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E-mail: info@cdcsrsl.com</w:t>
      </w:r>
    </w:p>
    <w:p>
      <w:pPr>
        <w:pStyle w:val="Default"/>
        <w:tabs>
          <w:tab w:val="clear" w:pos="720"/>
          <w:tab w:val="left" w:pos="400" w:leader="none"/>
        </w:tabs>
        <w:bidi w:val="0"/>
        <w:jc w:val="end"/>
        <w:rPr>
          <w:rFonts w:ascii="Calibri" w:hAnsi="Calibri"/>
          <w:sz w:val="20"/>
          <w:szCs w:val="20"/>
        </w:rPr>
      </w:pPr>
      <w:r>
        <w:rPr>
          <w:color w:val="auto"/>
          <w:sz w:val="20"/>
          <w:szCs w:val="20"/>
          <w:u w:val="none"/>
        </w:rPr>
        <w:t>November 20, 2025</w:t>
      </w:r>
    </w:p>
    <w:p>
      <w:pPr>
        <w:pStyle w:val="Default"/>
        <w:tabs>
          <w:tab w:val="clear" w:pos="720"/>
          <w:tab w:val="left" w:pos="400" w:leader="none"/>
        </w:tabs>
        <w:bidi w:val="0"/>
        <w:jc w:val="end"/>
        <w:rPr>
          <w:rFonts w:ascii="Calibri" w:hAnsi="Calibri"/>
          <w:sz w:val="20"/>
          <w:szCs w:val="20"/>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"CoTicker"</w:instrText>
      </w:r>
      <w:r>
        <w:rPr>
          <w:i w:val="false"/>
          <w:caps w:val="false"/>
          <w:smallCaps w:val="false"/>
          <w:color w:val="auto"/>
          <w:sz w:val="20"/>
          <w:szCs w:val="20"/>
          <w:u w:val="none"/>
        </w:rPr>
        <w:fldChar w:fldCharType="separate"/>
      </w:r>
      <w:r>
        <w:rPr>
          <w:i w:val="false"/>
          <w:caps w:val="false"/>
          <w:smallCaps w:val="false"/>
          <w:color w:val="auto"/>
          <w:sz w:val="20"/>
          <w:szCs w:val="20"/>
          <w:u w:val="none"/>
        </w:rPr>
        <w:t>SSGC</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"Folio1"</w:instrText>
      </w:r>
      <w:r>
        <w:rPr>
          <w:i w:val="false"/>
          <w:caps w:val="false"/>
          <w:smallCaps w:val="false"/>
          <w:color w:val="auto"/>
          <w:sz w:val="20"/>
          <w:szCs w:val="20"/>
          <w:u w:val="none"/>
        </w:rPr>
        <w:fldChar w:fldCharType="separate"/>
      </w:r>
      <w:r>
        <w:rPr>
          <w:i w:val="false"/>
          <w:caps w:val="false"/>
          <w:smallCaps w:val="false"/>
          <w:color w:val="auto"/>
          <w:sz w:val="20"/>
          <w:szCs w:val="20"/>
          <w:u w:val="none"/>
        </w:rPr>
        <w:t>2619155</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"Reference"</w:instrText>
      </w:r>
      <w:r>
        <w:rPr>
          <w:i w:val="false"/>
          <w:caps w:val="false"/>
          <w:smallCaps w:val="false"/>
          <w:color w:val="auto"/>
          <w:sz w:val="20"/>
          <w:szCs w:val="20"/>
          <w:u w:val="none"/>
        </w:rPr>
        <w:fldChar w:fldCharType="separate"/>
      </w:r>
      <w:r>
        <w:rPr>
          <w:i w:val="false"/>
          <w:caps w:val="false"/>
          <w:smallCaps w:val="false"/>
          <w:color w:val="auto"/>
          <w:sz w:val="20"/>
          <w:szCs w:val="20"/>
          <w:u w:val="none"/>
        </w:rPr>
        <w:t>TOS-25-02</w:t>
      </w:r>
      <w:r>
        <w:rPr>
          <w:i w:val="false"/>
          <w:caps w:val="false"/>
          <w:smallCaps w:val="false"/>
          <w:color w:val="auto"/>
          <w:sz w:val="20"/>
          <w:szCs w:val="20"/>
          <w:u w:val="none"/>
        </w:rPr>
        <w:fldChar w:fldCharType="end"/>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Transfer Deed for Signature Verification</w:t>
      </w:r>
    </w:p>
    <w:p>
      <w:pPr>
        <w:pStyle w:val="Default"/>
        <w:numPr>
          <w:ilvl w:val="0"/>
          <w:numId w:val="2"/>
        </w:numPr>
        <w:tabs>
          <w:tab w:val="clear" w:pos="720"/>
          <w:tab w:val="left" w:pos="400" w:leader="none"/>
        </w:tabs>
        <w:bidi w:val="0"/>
        <w:jc w:val="start"/>
        <w:rPr>
          <w:rFonts w:ascii="Calibri" w:hAnsi="Calibri"/>
          <w:sz w:val="20"/>
          <w:szCs w:val="20"/>
        </w:rPr>
      </w:pPr>
      <w:r>
        <w:rPr>
          <w:b/>
          <w:bCs/>
          <w:sz w:val="20"/>
          <w:szCs w:val="20"/>
        </w:rPr>
        <w:fldChar w:fldCharType="begin"/>
      </w:r>
      <w:r>
        <w:rPr>
          <w:b/>
          <w:bCs/>
          <w:sz w:val="20"/>
          <w:szCs w:val="20"/>
        </w:rPr>
        <w:instrText xml:space="preserve"> DOCPROPERTY "Company"</w:instrText>
      </w:r>
      <w:r>
        <w:rPr>
          <w:b/>
          <w:bCs/>
          <w:sz w:val="20"/>
          <w:szCs w:val="20"/>
        </w:rPr>
        <w:fldChar w:fldCharType="separate"/>
      </w:r>
      <w:r>
        <w:rPr>
          <w:b/>
          <w:bCs/>
          <w:sz w:val="20"/>
          <w:szCs w:val="20"/>
        </w:rPr>
        <w:t>Sui Souther Gas Company Limited</w:t>
      </w:r>
      <w:r>
        <w:rPr>
          <w:b/>
          <w:bCs/>
          <w:sz w:val="20"/>
          <w:szCs w:val="20"/>
        </w:rPr>
        <w:fldChar w:fldCharType="end"/>
      </w:r>
      <w:r>
        <w:rPr>
          <w:b/>
          <w:bCs/>
          <w:sz w:val="20"/>
          <w:szCs w:val="20"/>
        </w:rPr>
        <w:t xml:space="preserve"> </w:t>
      </w:r>
      <w:r>
        <w:rPr>
          <w:b/>
          <w:bCs/>
          <w:sz w:val="20"/>
          <w:szCs w:val="20"/>
        </w:rPr>
        <w:t>(</w:t>
      </w:r>
      <w:r>
        <w:rPr>
          <w:b/>
          <w:bCs/>
          <w:sz w:val="20"/>
          <w:szCs w:val="20"/>
        </w:rPr>
        <w:fldChar w:fldCharType="begin"/>
      </w:r>
      <w:r>
        <w:rPr>
          <w:b/>
          <w:bCs/>
          <w:sz w:val="20"/>
          <w:szCs w:val="20"/>
        </w:rPr>
        <w:instrText xml:space="preserve"> DOCPROPERTY "CoTicker"</w:instrText>
      </w:r>
      <w:r>
        <w:rPr>
          <w:b/>
          <w:bCs/>
          <w:sz w:val="20"/>
          <w:szCs w:val="20"/>
        </w:rPr>
        <w:fldChar w:fldCharType="separate"/>
      </w:r>
      <w:r>
        <w:rPr>
          <w:b/>
          <w:bCs/>
          <w:sz w:val="20"/>
          <w:szCs w:val="20"/>
        </w:rPr>
        <w:t>SSGC</w:t>
      </w:r>
      <w:r>
        <w:rPr>
          <w:b/>
          <w:bCs/>
          <w:sz w:val="20"/>
          <w:szCs w:val="20"/>
        </w:rPr>
        <w:fldChar w:fldCharType="end"/>
      </w:r>
      <w:r>
        <w:rPr>
          <w:b/>
          <w:bCs/>
          <w:sz w:val="20"/>
          <w:szCs w:val="20"/>
        </w:rPr>
        <w:t xml:space="preserve">)- Folio # </w:t>
      </w:r>
      <w:r>
        <w:rPr>
          <w:b/>
          <w:bCs/>
          <w:sz w:val="20"/>
          <w:szCs w:val="20"/>
        </w:rPr>
        <w:fldChar w:fldCharType="begin"/>
      </w:r>
      <w:r>
        <w:rPr>
          <w:b/>
          <w:bCs/>
          <w:sz w:val="20"/>
          <w:szCs w:val="20"/>
        </w:rPr>
        <w:instrText xml:space="preserve"> DOCPROPERTY "Folio1"</w:instrText>
      </w:r>
      <w:r>
        <w:rPr>
          <w:b/>
          <w:bCs/>
          <w:sz w:val="20"/>
          <w:szCs w:val="20"/>
        </w:rPr>
        <w:fldChar w:fldCharType="separate"/>
      </w:r>
      <w:r>
        <w:rPr>
          <w:b/>
          <w:bCs/>
          <w:sz w:val="20"/>
          <w:szCs w:val="20"/>
        </w:rPr>
        <w:t>2619155</w:t>
      </w:r>
      <w:r>
        <w:rPr>
          <w:b/>
          <w:bCs/>
          <w:sz w:val="20"/>
          <w:szCs w:val="20"/>
        </w:rPr>
        <w:fldChar w:fldCharType="end"/>
      </w:r>
    </w:p>
    <w:p>
      <w:pPr>
        <w:pStyle w:val="Default"/>
        <w:tabs>
          <w:tab w:val="clear" w:pos="720"/>
          <w:tab w:val="left" w:pos="400" w:leader="none"/>
        </w:tabs>
        <w:bidi w:val="0"/>
        <w:jc w:val="start"/>
        <w:rPr>
          <w:rFonts w:ascii="Calibri" w:hAnsi="Calibri"/>
          <w:color w:val="auto"/>
          <w:sz w:val="20"/>
          <w:szCs w:val="20"/>
        </w:rPr>
      </w:pPr>
      <w:r>
        <w:rPr>
          <w:color w:val="auto"/>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Dear Sirs, </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Referring to your letter with following reference:</w:t>
      </w:r>
    </w:p>
    <w:p>
      <w:pPr>
        <w:pStyle w:val="Default"/>
        <w:numPr>
          <w:ilvl w:val="0"/>
          <w:numId w:val="3"/>
        </w:numPr>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fldChar w:fldCharType="begin"/>
      </w:r>
      <w:r>
        <w:rPr>
          <w:b w:val="false"/>
          <w:strike w:val="false"/>
          <w:dstrike w:val="false"/>
          <w:color w:val="auto"/>
          <w:sz w:val="20"/>
          <w:szCs w:val="20"/>
          <w:u w:val="none"/>
        </w:rPr>
        <w:instrText xml:space="preserve"> DOCPROPERTY "ReferenceReceiving"</w:instrText>
      </w:r>
      <w:r>
        <w:rPr>
          <w:b w:val="false"/>
          <w:strike w:val="false"/>
          <w:dstrike w:val="false"/>
          <w:color w:val="auto"/>
          <w:sz w:val="20"/>
          <w:szCs w:val="20"/>
          <w:u w:val="none"/>
        </w:rPr>
        <w:fldChar w:fldCharType="separate"/>
      </w:r>
      <w:r>
        <w:rPr>
          <w:b w:val="false"/>
          <w:strike w:val="false"/>
          <w:dstrike w:val="false"/>
          <w:color w:val="auto"/>
          <w:sz w:val="20"/>
          <w:szCs w:val="20"/>
          <w:u w:val="none"/>
        </w:rPr>
        <w:t>CDC/FM-TD/SSGC/5253/25</w:t>
      </w:r>
      <w:r>
        <w:rPr>
          <w:b w:val="false"/>
          <w:strike w:val="false"/>
          <w:dstrike w:val="false"/>
          <w:color w:val="auto"/>
          <w:sz w:val="20"/>
          <w:szCs w:val="20"/>
          <w:u w:val="none"/>
        </w:rPr>
        <w:fldChar w:fldCharType="end"/>
      </w:r>
      <w:r>
        <w:rPr>
          <w:b w:val="false"/>
          <w:strike w:val="false"/>
          <w:dstrike w:val="false"/>
          <w:color w:val="auto"/>
          <w:sz w:val="20"/>
          <w:szCs w:val="20"/>
          <w:u w:val="none"/>
        </w:rPr>
        <w:t>,</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I acknowledge receiving of:</w:t>
      </w:r>
    </w:p>
    <w:p>
      <w:pPr>
        <w:pStyle w:val="Default"/>
        <w:numPr>
          <w:ilvl w:val="0"/>
          <w:numId w:val="4"/>
        </w:numPr>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Form for Transfer of Shares in </w:t>
      </w:r>
      <w:r>
        <w:rPr>
          <w:b w:val="false"/>
          <w:strike w:val="false"/>
          <w:dstrike w:val="false"/>
          <w:color w:val="auto"/>
          <w:sz w:val="20"/>
          <w:szCs w:val="20"/>
          <w:u w:val="single"/>
        </w:rPr>
        <w:t>new format</w:t>
      </w:r>
      <w:r>
        <w:rPr>
          <w:b w:val="false"/>
          <w:strike w:val="false"/>
          <w:dstrike w:val="false"/>
          <w:color w:val="auto"/>
          <w:sz w:val="20"/>
          <w:szCs w:val="20"/>
          <w:u w:val="none"/>
        </w:rPr>
        <w:t>, 02 each, for =3,609= shares duly transferred in my name</w:t>
      </w:r>
      <w:r>
        <w:rPr>
          <w:b w:val="false"/>
          <w:bCs w:val="false"/>
          <w:strike w:val="false"/>
          <w:dstrike w:val="false"/>
          <w:color w:val="auto"/>
          <w:sz w:val="20"/>
          <w:szCs w:val="20"/>
          <w:u w:val="none"/>
        </w:rPr>
        <w:t>.</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bCs w:val="false"/>
          <w:strike w:val="false"/>
          <w:dstrike w:val="false"/>
          <w:color w:val="auto"/>
          <w:sz w:val="20"/>
          <w:szCs w:val="20"/>
          <w:u w:val="none"/>
        </w:rPr>
        <w:t>In this regard, enclosed, please find the 02 Transfer Deeds, along with CNICs of the Transferor and his Witness. After performing due signature verification for your records, please return the same to my address mentioned below.</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sz w:val="20"/>
          <w:szCs w:val="20"/>
        </w:rPr>
      </w:pPr>
      <w:r>
        <w:rPr>
          <w:sz w:val="20"/>
          <w:szCs w:val="20"/>
        </w:rPr>
      </w:r>
    </w:p>
    <w:p>
      <w:pPr>
        <w:pStyle w:val="Default"/>
        <w:tabs>
          <w:tab w:val="clear" w:pos="720"/>
          <w:tab w:val="left" w:pos="400" w:leader="none"/>
        </w:tabs>
        <w:bidi w:val="0"/>
        <w:jc w:val="start"/>
        <w:rPr>
          <w:sz w:val="20"/>
          <w:szCs w:val="20"/>
        </w:rPr>
      </w:pPr>
      <w:r>
        <w:rPr>
          <w:sz w:val="20"/>
          <w:szCs w:val="20"/>
        </w:rPr>
        <w:t>With cordial wishes, I remain,</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Yours Faithfully, </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drawing>
          <wp:anchor distT="0" distB="0" distL="0" distR="0" simplePos="0" relativeHeight="2" behindDoc="0" locked="0" layoutInCell="1" allowOverlap="1">
            <wp:simplePos x="0" y="0"/>
            <wp:positionH relativeFrom="column">
              <wp:posOffset>69850</wp:posOffset>
            </wp:positionH>
            <wp:positionV relativeFrom="paragraph">
              <wp:posOffset>635</wp:posOffset>
            </wp:positionV>
            <wp:extent cx="1151890" cy="467995"/>
            <wp:effectExtent l="0" t="0" r="0" b="0"/>
            <wp:wrapNone/>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1151890" cy="467995"/>
                    </a:xfrm>
                    <a:prstGeom prst="rect">
                      <a:avLst/>
                    </a:prstGeom>
                    <a:noFill/>
                  </pic:spPr>
                </pic:pic>
              </a:graphicData>
            </a:graphic>
          </wp:anchor>
        </w:drawing>
      </w:r>
    </w:p>
    <w:p>
      <w:pPr>
        <w:pStyle w:val="Default"/>
        <w:tabs>
          <w:tab w:val="clear" w:pos="720"/>
          <w:tab w:val="left" w:pos="400" w:leader="none"/>
        </w:tabs>
        <w:bidi w:val="0"/>
        <w:jc w:val="start"/>
        <w:rPr>
          <w:rFonts w:ascii="Calibri" w:hAnsi="Calibri"/>
          <w:sz w:val="20"/>
          <w:szCs w:val="20"/>
        </w:rPr>
      </w:pPr>
      <w:r>
        <w:rPr>
          <w:sz w:val="20"/>
          <w:szCs w:val="20"/>
        </w:rPr>
        <w:t>_____________________</w:t>
      </w:r>
    </w:p>
    <w:tbl>
      <w:tblPr>
        <w:tblW w:w="5000" w:type="pct"/>
        <w:jc w:val="start"/>
        <w:tblInd w:w="0" w:type="dxa"/>
        <w:tblLayout w:type="fixed"/>
        <w:tblCellMar>
          <w:top w:w="29" w:type="dxa"/>
          <w:start w:w="29" w:type="dxa"/>
          <w:bottom w:w="29" w:type="dxa"/>
          <w:end w:w="29" w:type="dxa"/>
        </w:tblCellMar>
      </w:tblPr>
      <w:tblGrid>
        <w:gridCol w:w="4985"/>
        <w:gridCol w:w="4987"/>
      </w:tblGrid>
      <w:tr>
        <w:trPr/>
        <w:tc>
          <w:tcPr>
            <w:tcW w:w="4985"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Muhammad Ilyas Khan</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21, Ghulam Nabi Colony</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Samanabad, Lahore, 54500</w:t>
            </w:r>
          </w:p>
        </w:tc>
        <w:tc>
          <w:tcPr>
            <w:tcW w:w="4987"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CNIC</w:t>
            </w:r>
            <w:r>
              <w:rPr>
                <w:b w:val="false"/>
                <w:strike w:val="false"/>
                <w:dstrike w:val="false"/>
                <w:color w:val="auto"/>
                <w:sz w:val="20"/>
                <w:szCs w:val="20"/>
                <w:u w:val="none"/>
              </w:rPr>
              <w:t>: 35202-2834819-5</w:t>
            </w:r>
          </w:p>
          <w:p>
            <w:pPr>
              <w:pStyle w:val="Default"/>
              <w:tabs>
                <w:tab w:val="clear" w:pos="720"/>
                <w:tab w:val="left" w:pos="400" w:leader="none"/>
              </w:tabs>
              <w:bidi w:val="0"/>
              <w:jc w:val="start"/>
              <w:rPr>
                <w:rFonts w:ascii="Calibri" w:hAnsi="Calibri"/>
                <w:sz w:val="20"/>
                <w:szCs w:val="20"/>
              </w:rPr>
            </w:pPr>
            <w:r>
              <w:rPr>
                <w:b/>
                <w:strike w:val="false"/>
                <w:dstrike w:val="false"/>
                <w:color w:val="auto"/>
                <w:sz w:val="20"/>
                <w:szCs w:val="20"/>
                <w:u w:val="none"/>
              </w:rPr>
              <w:t xml:space="preserve">Contact: </w:t>
            </w:r>
            <w:r>
              <w:rPr>
                <w:b w:val="false"/>
                <w:strike w:val="false"/>
                <w:dstrike w:val="false"/>
                <w:color w:val="auto"/>
                <w:sz w:val="20"/>
                <w:szCs w:val="20"/>
                <w:u w:val="none"/>
              </w:rPr>
              <w:t>0301 443 0802</w:t>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Email</w:t>
            </w:r>
            <w:r>
              <w:rPr>
                <w:b w:val="false"/>
                <w:strike w:val="false"/>
                <w:dstrike w:val="false"/>
                <w:color w:val="auto"/>
                <w:sz w:val="20"/>
                <w:szCs w:val="20"/>
                <w:u w:val="none"/>
              </w:rPr>
              <w:t>: Ilyas.Khan@yahoo.com</w:t>
            </w:r>
          </w:p>
        </w:tc>
      </w:tr>
    </w:tbl>
    <w:p>
      <w:pPr>
        <w:pStyle w:val="Default"/>
        <w:tabs>
          <w:tab w:val="clear" w:pos="720"/>
          <w:tab w:val="left" w:pos="400" w:leader="none"/>
        </w:tabs>
        <w:bidi w:val="0"/>
        <w:jc w:val="start"/>
        <w:rPr>
          <w:rFonts w:ascii="Calibri" w:hAnsi="Calibri"/>
          <w:b/>
          <w:strike w:val="false"/>
          <w:dstrike w:val="false"/>
          <w:color w:val="auto"/>
          <w:sz w:val="20"/>
          <w:szCs w:val="20"/>
          <w:u w:val="none"/>
        </w:rPr>
      </w:pPr>
      <w:r>
        <w:rPr>
          <w:b/>
          <w:strike w:val="false"/>
          <w:dstrike w:val="false"/>
          <w:color w:val="auto"/>
          <w:sz w:val="20"/>
          <w:szCs w:val="20"/>
          <w:u w:val="none"/>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34" w:right="1134" w:gutter="0" w:header="1134" w:top="1661" w:footer="1134" w:bottom="1693"/>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 w:name="Liberation Serif">
    <w:altName w:val="Times New Roman"/>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sz w:val="18"/>
                    <w:szCs w:val="18"/>
                  </w:rPr>
                  <w:fldChar w:fldCharType="begin"/>
                </w:r>
                <w:r>
                  <w:rPr>
                    <w:sz w:val="18"/>
                    <w:szCs w:val="18"/>
                  </w:rPr>
                  <w:instrText xml:space="preserve"> DOCPROPERTY "Reference"</w:instrText>
                </w:r>
                <w:r>
                  <w:rPr>
                    <w:sz w:val="18"/>
                    <w:szCs w:val="18"/>
                  </w:rPr>
                  <w:fldChar w:fldCharType="separate"/>
                </w:r>
                <w:r>
                  <w:rPr>
                    <w:sz w:val="18"/>
                    <w:szCs w:val="18"/>
                  </w:rPr>
                  <w:t>TOS-25-02</w:t>
                </w:r>
                <w:r>
                  <w:rPr>
                    <w:sz w:val="18"/>
                    <w:szCs w:val="18"/>
                  </w:rPr>
                  <w:fldChar w:fldCharType="end"/>
                </w:r>
              </w:p>
            </w:tc>
            <w:tc>
              <w:tcPr>
                <w:tcW w:w="2465" w:type="dxa"/>
                <w:tcBorders/>
              </w:tcPr>
              <w:p>
                <w:pPr>
                  <w:pStyle w:val="TableContents"/>
                  <w:ind w:hanging="0" w:start="0"/>
                  <w:jc w:val="end"/>
                  <w:rPr>
                    <w:rFonts w:ascii="Calibri" w:hAnsi="Calibri"/>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w:t>
                </w:r>
                <w:r>
                  <w:rPr>
                    <w:sz w:val="18"/>
                    <w:szCs w:val="18"/>
                  </w:rPr>
                  <w:fldChar w:fldCharType="end"/>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sz w:val="18"/>
                    <w:szCs w:val="18"/>
                  </w:rPr>
                  <w:fldChar w:fldCharType="begin"/>
                </w:r>
                <w:r>
                  <w:rPr>
                    <w:sz w:val="18"/>
                    <w:szCs w:val="18"/>
                  </w:rPr>
                  <w:instrText xml:space="preserve"> DOCPROPERTY "Reference"</w:instrText>
                </w:r>
                <w:r>
                  <w:rPr>
                    <w:sz w:val="18"/>
                    <w:szCs w:val="18"/>
                  </w:rPr>
                  <w:fldChar w:fldCharType="separate"/>
                </w:r>
                <w:r>
                  <w:rPr>
                    <w:sz w:val="18"/>
                    <w:szCs w:val="18"/>
                  </w:rPr>
                  <w:t>TOS-25-02</w:t>
                </w:r>
                <w:r>
                  <w:rPr>
                    <w:sz w:val="18"/>
                    <w:szCs w:val="18"/>
                  </w:rPr>
                  <w:fldChar w:fldCharType="end"/>
                </w:r>
              </w:p>
            </w:tc>
            <w:tc>
              <w:tcPr>
                <w:tcW w:w="2465" w:type="dxa"/>
                <w:tcBorders/>
              </w:tcPr>
              <w:p>
                <w:pPr>
                  <w:pStyle w:val="TableContents"/>
                  <w:ind w:hanging="0" w:start="0"/>
                  <w:jc w:val="end"/>
                  <w:rPr>
                    <w:rFonts w:ascii="Calibri" w:hAnsi="Calibri"/>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w:t>
                </w:r>
                <w:r>
                  <w:rPr>
                    <w:sz w:val="18"/>
                    <w:szCs w:val="18"/>
                  </w:rPr>
                  <w:fldChar w:fldCharType="end"/>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70"/>
        </w:tabs>
        <w:ind w:start="770" w:hanging="360"/>
      </w:pPr>
      <w:rPr>
        <w:rFonts w:ascii="Symbol" w:hAnsi="Symbol" w:cs="Symbol" w:hint="default"/>
      </w:rPr>
    </w:lvl>
    <w:lvl w:ilvl="1">
      <w:start w:val="1"/>
      <w:numFmt w:val="bullet"/>
      <w:lvlText w:val="◦"/>
      <w:lvlJc w:val="start"/>
      <w:pPr>
        <w:tabs>
          <w:tab w:val="num" w:pos="1130"/>
        </w:tabs>
        <w:ind w:start="1130" w:hanging="360"/>
      </w:pPr>
      <w:rPr>
        <w:rFonts w:ascii="OpenSymbol" w:hAnsi="OpenSymbol" w:cs="OpenSymbol" w:hint="default"/>
      </w:rPr>
    </w:lvl>
    <w:lvl w:ilvl="2">
      <w:start w:val="1"/>
      <w:numFmt w:val="bullet"/>
      <w:lvlText w:val="▪"/>
      <w:lvlJc w:val="start"/>
      <w:pPr>
        <w:tabs>
          <w:tab w:val="num" w:pos="1490"/>
        </w:tabs>
        <w:ind w:start="1490" w:hanging="360"/>
      </w:pPr>
      <w:rPr>
        <w:rFonts w:ascii="OpenSymbol" w:hAnsi="OpenSymbol" w:cs="OpenSymbol" w:hint="default"/>
      </w:rPr>
    </w:lvl>
    <w:lvl w:ilvl="3">
      <w:start w:val="1"/>
      <w:numFmt w:val="bullet"/>
      <w:lvlText w:val=""/>
      <w:lvlJc w:val="start"/>
      <w:pPr>
        <w:tabs>
          <w:tab w:val="num" w:pos="1850"/>
        </w:tabs>
        <w:ind w:start="1850" w:hanging="360"/>
      </w:pPr>
      <w:rPr>
        <w:rFonts w:ascii="Symbol" w:hAnsi="Symbol" w:cs="Symbol" w:hint="default"/>
      </w:rPr>
    </w:lvl>
    <w:lvl w:ilvl="4">
      <w:start w:val="1"/>
      <w:numFmt w:val="bullet"/>
      <w:lvlText w:val="◦"/>
      <w:lvlJc w:val="start"/>
      <w:pPr>
        <w:tabs>
          <w:tab w:val="num" w:pos="2210"/>
        </w:tabs>
        <w:ind w:start="2210" w:hanging="360"/>
      </w:pPr>
      <w:rPr>
        <w:rFonts w:ascii="OpenSymbol" w:hAnsi="OpenSymbol" w:cs="OpenSymbol" w:hint="default"/>
      </w:rPr>
    </w:lvl>
    <w:lvl w:ilvl="5">
      <w:start w:val="1"/>
      <w:numFmt w:val="bullet"/>
      <w:lvlText w:val="▪"/>
      <w:lvlJc w:val="start"/>
      <w:pPr>
        <w:tabs>
          <w:tab w:val="num" w:pos="2570"/>
        </w:tabs>
        <w:ind w:start="2570" w:hanging="360"/>
      </w:pPr>
      <w:rPr>
        <w:rFonts w:ascii="OpenSymbol" w:hAnsi="OpenSymbol" w:cs="OpenSymbol" w:hint="default"/>
      </w:rPr>
    </w:lvl>
    <w:lvl w:ilvl="6">
      <w:start w:val="1"/>
      <w:numFmt w:val="bullet"/>
      <w:lvlText w:val=""/>
      <w:lvlJc w:val="start"/>
      <w:pPr>
        <w:tabs>
          <w:tab w:val="num" w:pos="2930"/>
        </w:tabs>
        <w:ind w:start="2930" w:hanging="360"/>
      </w:pPr>
      <w:rPr>
        <w:rFonts w:ascii="Symbol" w:hAnsi="Symbol" w:cs="Symbol" w:hint="default"/>
      </w:rPr>
    </w:lvl>
    <w:lvl w:ilvl="7">
      <w:start w:val="1"/>
      <w:numFmt w:val="bullet"/>
      <w:lvlText w:val="◦"/>
      <w:lvlJc w:val="start"/>
      <w:pPr>
        <w:tabs>
          <w:tab w:val="num" w:pos="3290"/>
        </w:tabs>
        <w:ind w:start="3290" w:hanging="360"/>
      </w:pPr>
      <w:rPr>
        <w:rFonts w:ascii="OpenSymbol" w:hAnsi="OpenSymbol" w:cs="OpenSymbol" w:hint="default"/>
      </w:rPr>
    </w:lvl>
    <w:lvl w:ilvl="8">
      <w:start w:val="1"/>
      <w:numFmt w:val="bullet"/>
      <w:lvlText w:val="▪"/>
      <w:lvlJc w:val="start"/>
      <w:pPr>
        <w:tabs>
          <w:tab w:val="num" w:pos="3650"/>
        </w:tabs>
        <w:ind w:start="365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20"/>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napToGrid w:val="false"/>
      <w:spacing w:before="0" w:after="0"/>
      <w:ind w:start="0"/>
      <w:jc w:val="start"/>
    </w:pPr>
    <w:rPr>
      <w:rFonts w:ascii="Calibri" w:hAnsi="Calibri" w:eastAsia="NSimSun" w:cs="Calibri"/>
      <w:color w:val="auto"/>
      <w:kern w:val="2"/>
      <w:sz w:val="20"/>
      <w:szCs w:val="20"/>
      <w:lang w:val="en-US" w:eastAsia="zh-CN" w:bidi="zxx"/>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lang w:val="zxx" w:eastAsia="zxx" w:bidi="zxx"/>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numPr>
        <w:ilvl w:val="0"/>
        <w:numId w:val="0"/>
      </w:numPr>
      <w:spacing w:before="240" w:after="120"/>
      <w:ind w:start="0"/>
    </w:pPr>
    <w:rPr>
      <w:rFonts w:ascii="Liberation Sans" w:hAnsi="Liberation Sans" w:eastAsia="Microsoft YaHei" w:cs="Tahoma"/>
      <w:sz w:val="28"/>
      <w:szCs w:val="28"/>
    </w:rPr>
  </w:style>
  <w:style w:type="paragraph" w:styleId="BodyText">
    <w:name w:val="Body Text"/>
    <w:basedOn w:val="Normal"/>
    <w:pPr>
      <w:numPr>
        <w:ilvl w:val="0"/>
        <w:numId w:val="0"/>
      </w:numPr>
      <w:spacing w:lineRule="auto" w:line="276" w:before="0" w:after="140"/>
      <w:ind w:start="0"/>
    </w:pPr>
    <w:rPr/>
  </w:style>
  <w:style w:type="paragraph" w:styleId="List">
    <w:name w:val="List"/>
    <w:basedOn w:val="BodyText"/>
    <w:pPr/>
    <w:rPr>
      <w:rFonts w:ascii="Liberation Sans" w:hAnsi="Liberation Sans" w:cs="Tahoma"/>
    </w:rPr>
  </w:style>
  <w:style w:type="paragraph" w:styleId="Caption">
    <w:name w:val="caption"/>
    <w:basedOn w:val="Normal"/>
    <w:qFormat/>
    <w:pPr>
      <w:numPr>
        <w:ilvl w:val="0"/>
        <w:numId w:val="0"/>
      </w:numPr>
      <w:suppressLineNumbers/>
      <w:spacing w:before="120" w:after="120"/>
      <w:ind w:start="0"/>
    </w:pPr>
    <w:rPr>
      <w:rFonts w:ascii="Liberation Sans" w:hAnsi="Liberation Sans" w:cs="Tahoma"/>
      <w:i/>
      <w:iCs/>
      <w:sz w:val="24"/>
      <w:szCs w:val="24"/>
    </w:rPr>
  </w:style>
  <w:style w:type="paragraph" w:styleId="Index">
    <w:name w:val="Index"/>
    <w:basedOn w:val="Normal"/>
    <w:qFormat/>
    <w:pPr>
      <w:numPr>
        <w:ilvl w:val="0"/>
        <w:numId w:val="0"/>
      </w:numPr>
      <w:suppressLineNumbers/>
      <w:ind w:start="0"/>
    </w:pPr>
    <w:rPr>
      <w:rFonts w:ascii="Liberation Sans" w:hAnsi="Liberation Sans" w:cs="Tahoma"/>
      <w:lang w:val="zxx" w:eastAsia="zxx" w:bidi="zxx"/>
    </w:rPr>
  </w:style>
  <w:style w:type="paragraph" w:styleId="Default">
    <w:name w:val="Default"/>
    <w:qFormat/>
    <w:pPr>
      <w:widowControl/>
      <w:suppressAutoHyphens w:val="true"/>
      <w:overflowPunct w:val="false"/>
      <w:bidi w:val="0"/>
      <w:spacing w:before="0" w:after="0"/>
      <w:jc w:val="start"/>
    </w:pPr>
    <w:rPr>
      <w:rFonts w:ascii="Calibri" w:hAnsi="Calibri" w:eastAsia="NSimSun" w:cs="Tahoma"/>
      <w:color w:val="000000"/>
      <w:kern w:val="2"/>
      <w:sz w:val="22"/>
      <w:szCs w:val="24"/>
      <w:lang w:val="en-US" w:eastAsia="zh-CN" w:bidi="ur-PK"/>
    </w:rPr>
  </w:style>
  <w:style w:type="paragraph" w:styleId="TableContents">
    <w:name w:val="Table Contents"/>
    <w:basedOn w:val="Normal"/>
    <w:qFormat/>
    <w:pPr>
      <w:widowControl w:val="false"/>
      <w:numPr>
        <w:ilvl w:val="0"/>
        <w:numId w:val="0"/>
      </w:numPr>
      <w:suppressLineNumbers/>
      <w:spacing w:lineRule="auto" w:line="240"/>
      <w:ind w:start="0"/>
      <w:jc w:val="center"/>
      <w:textAlignment w:val="center"/>
    </w:pPr>
    <w:rPr>
      <w:rFonts w:ascii="Calibri" w:hAnsi="Calibri" w:cs="Calibri"/>
      <w:sz w:val="20"/>
      <w:szCs w:val="20"/>
    </w:rPr>
  </w:style>
  <w:style w:type="paragraph" w:styleId="HeaderandFooter">
    <w:name w:val="Header and Footer"/>
    <w:basedOn w:val="Normal"/>
    <w:qFormat/>
    <w:pPr>
      <w:numPr>
        <w:ilvl w:val="0"/>
        <w:numId w:val="0"/>
      </w:numPr>
      <w:suppressLineNumbers/>
      <w:tabs>
        <w:tab w:val="clear" w:pos="720"/>
        <w:tab w:val="center" w:pos="4986" w:leader="none"/>
        <w:tab w:val="right" w:pos="9972" w:leader="none"/>
      </w:tabs>
      <w:ind w:start="0"/>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odyTextFirstIndent">
    <w:name w:val="Body Text First Indent"/>
    <w:basedOn w:val="BodyText"/>
    <w:pPr>
      <w:ind w:firstLine="283" w:start="0"/>
    </w:pPr>
    <w:rPr/>
  </w:style>
  <w:style w:type="paragraph" w:styleId="Header">
    <w:name w:val="header"/>
    <w:basedOn w:val="HeaderandFooter"/>
    <w:pPr>
      <w:suppressLineNumbers/>
    </w:pPr>
    <w:rPr/>
  </w:style>
  <w:style w:type="paragraph" w:styleId="statusheading">
    <w:name w:val="status_heading"/>
    <w:basedOn w:val="Normal"/>
    <w:next w:val="Normal"/>
    <w:qFormat/>
    <w:pPr>
      <w:spacing w:lineRule="auto" w:line="240" w:before="86" w:after="58"/>
    </w:pPr>
    <w:rPr>
      <w:rFonts w:ascii="Calibri" w:hAnsi="Calibri"/>
      <w:b/>
      <w:sz w:val="20"/>
      <w:u w:val="single"/>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umberingivx">
    <w:name w:val="Numbering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4968</TotalTime>
  <Application>LibreOffice/26.2.1.2$Windows_X86_64 LibreOffice_project/620$Build-2</Application>
  <AppVersion>15.0000</AppVersion>
  <Pages>1</Pages>
  <Words>145</Words>
  <Characters>846</Characters>
  <CharactersWithSpaces>961</CharactersWithSpaces>
  <Paragraphs>29</Paragraphs>
  <Company>Sui Souther Gas Company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2024-06-11T03:30:00Z</dcterms:created>
  <dc:creator>Tayyab Baloch</dc:creator>
  <dc:description/>
  <dc:language>en-US</dc:language>
  <cp:lastModifiedBy/>
  <cp:lastPrinted>2025-02-15T15:12:57Z</cp:lastPrinted>
  <dcterms:modified xsi:type="dcterms:W3CDTF">2026-03-09T21:11:04Z</dcterms:modified>
  <cp:revision>682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Ticker">
    <vt:lpwstr>SSGC</vt:lpwstr>
  </property>
  <property fmtid="{D5CDD505-2E9C-101B-9397-08002B2CF9AE}" pid="3" name="FatherCNIC">
    <vt:lpwstr>35200-1521538-7</vt:lpwstr>
  </property>
  <property fmtid="{D5CDD505-2E9C-101B-9397-08002B2CF9AE}" pid="4" name="Folio1">
    <vt:lpwstr>2619155</vt:lpwstr>
  </property>
  <property fmtid="{D5CDD505-2E9C-101B-9397-08002B2CF9AE}" pid="5" name="Reference">
    <vt:lpwstr>TOS-25-02</vt:lpwstr>
  </property>
  <property fmtid="{D5CDD505-2E9C-101B-9397-08002B2CF9AE}" pid="6" name="ReferenceReceiving">
    <vt:lpwstr>CDC/FM-TD/SSGC/5253/25</vt:lpwstr>
  </property>
</Properties>
</file>