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tabs>
          <w:tab w:val="clear" w:pos="709"/>
          <w:tab w:val="left" w:pos="400" w:leader="none"/>
        </w:tabs>
        <w:bidi w:val="0"/>
        <w:jc w:val="start"/>
        <w:rPr>
          <w:rFonts w:ascii="Calibri" w:hAnsi="Calibri"/>
          <w:b w:val="false"/>
          <w:bCs w:val="false"/>
          <w:i w:val="false"/>
          <w:caps w:val="false"/>
          <w:smallCaps w:val="false"/>
          <w:color w:val="auto"/>
          <w:sz w:val="20"/>
          <w:szCs w:val="20"/>
        </w:rPr>
      </w:pPr>
      <w:r>
        <w:rPr>
          <w:b w:val="false"/>
          <w:bCs w:val="false"/>
          <w:i w:val="false"/>
          <w:caps w:val="false"/>
          <w:smallCaps w:val="false"/>
          <w:color w:val="auto"/>
          <w:sz w:val="20"/>
          <w:szCs w:val="20"/>
        </w:rPr>
        <w:t>THK Associates (Pvt.) Limited</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Plot No. 32-C, Jami Commercial Street 2,</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D.H.A. Phase VII, Karachi-75500</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Tel: +92 (021) 35310191-192-193</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Email: sfc@thk.com.pk</w:t>
      </w:r>
    </w:p>
    <w:p>
      <w:pPr>
        <w:pStyle w:val="Default"/>
        <w:tabs>
          <w:tab w:val="clear" w:pos="709"/>
          <w:tab w:val="left" w:pos="400" w:leader="none"/>
        </w:tabs>
        <w:bidi w:val="0"/>
        <w:jc w:val="end"/>
        <w:rPr>
          <w:rFonts w:ascii="Calibri" w:hAnsi="Calibri"/>
          <w:color w:val="auto"/>
          <w:sz w:val="20"/>
          <w:szCs w:val="20"/>
          <w:u w:val="none"/>
        </w:rPr>
      </w:pPr>
      <w:r>
        <w:rPr>
          <w:color w:val="auto"/>
          <w:sz w:val="20"/>
          <w:szCs w:val="20"/>
          <w:u w:val="none"/>
        </w:rPr>
        <w:fldChar w:fldCharType="begin"/>
      </w:r>
      <w:r>
        <w:rPr>
          <w:color w:val="auto"/>
          <w:sz w:val="20"/>
          <w:szCs w:val="20"/>
          <w:u w:val="none"/>
        </w:rPr>
        <w:instrText xml:space="preserve"> DOCPROPERTY "DateOfDispatch"</w:instrText>
      </w:r>
      <w:r>
        <w:rPr>
          <w:color w:val="auto"/>
          <w:sz w:val="20"/>
          <w:szCs w:val="20"/>
          <w:u w:val="none"/>
        </w:rPr>
        <w:fldChar w:fldCharType="separate"/>
      </w:r>
      <w:r>
        <w:rPr>
          <w:color w:val="auto"/>
          <w:sz w:val="20"/>
          <w:szCs w:val="20"/>
          <w:u w:val="none"/>
        </w:rPr>
        <w:t>June 1, 2026</w:t>
      </w:r>
      <w:r>
        <w:rPr>
          <w:color w:val="auto"/>
          <w:sz w:val="20"/>
          <w:szCs w:val="20"/>
          <w:u w:val="none"/>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fldChar w:fldCharType="begin"/>
      </w:r>
      <w:r>
        <w:rPr>
          <w:i w:val="false"/>
          <w:caps w:val="false"/>
          <w:smallCaps w:val="false"/>
          <w:color w:val="auto"/>
          <w:sz w:val="20"/>
          <w:szCs w:val="20"/>
        </w:rPr>
        <w:instrText xml:space="preserve"> DOCPROPERTY "CoTicker"</w:instrText>
      </w:r>
      <w:r>
        <w:rPr>
          <w:i w:val="false"/>
          <w:caps w:val="false"/>
          <w:smallCaps w:val="false"/>
          <w:color w:val="auto"/>
          <w:sz w:val="20"/>
          <w:szCs w:val="20"/>
        </w:rPr>
        <w:fldChar w:fldCharType="separate"/>
      </w:r>
      <w:r>
        <w:rPr>
          <w:i w:val="false"/>
          <w:caps w:val="false"/>
          <w:smallCaps w:val="false"/>
          <w:color w:val="auto"/>
          <w:sz w:val="20"/>
          <w:szCs w:val="20"/>
        </w:rPr>
        <w:t>HABSM</w:t>
      </w:r>
      <w:r>
        <w:rPr>
          <w:i w:val="false"/>
          <w:caps w:val="false"/>
          <w:smallCaps w:val="false"/>
          <w:color w:val="auto"/>
          <w:sz w:val="20"/>
          <w:szCs w:val="20"/>
        </w:rPr>
        <w:fldChar w:fldCharType="end"/>
      </w:r>
      <w:r>
        <w:rPr>
          <w:i w:val="false"/>
          <w:caps w:val="false"/>
          <w:smallCaps w:val="false"/>
          <w:color w:val="auto"/>
          <w:sz w:val="20"/>
          <w:szCs w:val="20"/>
        </w:rPr>
        <w:t xml:space="preserve"> </w:t>
      </w:r>
      <w:r>
        <w:rPr>
          <w:i w:val="false"/>
          <w:caps w:val="false"/>
          <w:smallCaps w:val="false"/>
          <w:color w:val="auto"/>
          <w:sz w:val="20"/>
          <w:szCs w:val="20"/>
        </w:rPr>
        <w:t xml:space="preserve">- </w:t>
      </w:r>
      <w:r>
        <w:rPr>
          <w:i w:val="false"/>
          <w:caps w:val="false"/>
          <w:smallCaps w:val="false"/>
          <w:color w:val="auto"/>
          <w:sz w:val="20"/>
          <w:szCs w:val="20"/>
        </w:rPr>
        <w:fldChar w:fldCharType="begin"/>
      </w:r>
      <w:r>
        <w:rPr>
          <w:i w:val="false"/>
          <w:caps w:val="false"/>
          <w:smallCaps w:val="false"/>
          <w:color w:val="auto"/>
          <w:sz w:val="20"/>
          <w:szCs w:val="20"/>
        </w:rPr>
        <w:instrText xml:space="preserve"> DOCPROPERTY "Reference"</w:instrText>
      </w:r>
      <w:r>
        <w:rPr>
          <w:i w:val="false"/>
          <w:caps w:val="false"/>
          <w:smallCaps w:val="false"/>
          <w:color w:val="auto"/>
          <w:sz w:val="20"/>
          <w:szCs w:val="20"/>
        </w:rPr>
        <w:fldChar w:fldCharType="separate"/>
      </w:r>
      <w:r>
        <w:rPr>
          <w:i w:val="false"/>
          <w:caps w:val="false"/>
          <w:smallCaps w:val="false"/>
          <w:color w:val="auto"/>
          <w:sz w:val="20"/>
          <w:szCs w:val="20"/>
        </w:rPr>
        <w:t>2601</w:t>
      </w:r>
      <w:r>
        <w:rPr>
          <w:i w:val="false"/>
          <w:caps w:val="false"/>
          <w:smallCaps w:val="false"/>
          <w:color w:val="auto"/>
          <w:sz w:val="20"/>
          <w:szCs w:val="20"/>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r>
    </w:p>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"Subject"</w:instrText>
      </w:r>
      <w:r>
        <w:rPr>
          <w:b/>
          <w:bCs/>
          <w:strike w:val="false"/>
          <w:dstrike w:val="false"/>
          <w:color w:val="auto"/>
          <w:sz w:val="20"/>
          <w:szCs w:val="20"/>
          <w:u w:val="none"/>
        </w:rPr>
        <w:fldChar w:fldCharType="separate"/>
      </w:r>
      <w:r>
        <w:rPr>
          <w:b/>
          <w:bCs/>
          <w:strike w:val="false"/>
          <w:dstrike w:val="false"/>
          <w:color w:val="auto"/>
          <w:sz w:val="20"/>
          <w:szCs w:val="20"/>
          <w:u w:val="none"/>
        </w:rPr>
        <w:t>Transmission of =13,775= Shares and Unclaimed Dividends held by Late Mohammad Ayub Khan</w:t>
      </w:r>
      <w:r>
        <w:rPr>
          <w:b/>
          <w:bCs/>
          <w:strike w:val="false"/>
          <w:dstrike w:val="false"/>
          <w:color w:val="auto"/>
          <w:sz w:val="20"/>
          <w:szCs w:val="20"/>
          <w:u w:val="none"/>
        </w:rPr>
        <w:fldChar w:fldCharType="end"/>
      </w: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"FatherCNIC"</w:instrText>
      </w:r>
      <w:r>
        <w:rPr>
          <w:b/>
          <w:bCs/>
          <w:strike w:val="false"/>
          <w:dstrike w:val="false"/>
          <w:color w:val="auto"/>
          <w:sz w:val="20"/>
          <w:szCs w:val="20"/>
          <w:u w:val="none"/>
        </w:rPr>
        <w:fldChar w:fldCharType="separate"/>
      </w:r>
      <w:r>
        <w:rPr>
          <w:b/>
          <w:bCs/>
          <w:strike w:val="false"/>
          <w:dstrike w:val="false"/>
          <w:color w:val="auto"/>
          <w:sz w:val="20"/>
          <w:szCs w:val="20"/>
          <w:u w:val="none"/>
        </w:rPr>
      </w:r>
      <w:r>
        <w:rPr>
          <w:b/>
          <w:bCs/>
          <w:strike w:val="false"/>
          <w:dstrike w:val="false"/>
          <w:color w:val="auto"/>
          <w:sz w:val="20"/>
          <w:szCs w:val="20"/>
          <w:u w:val="none"/>
        </w:rPr>
        <w:fldChar w:fldCharType="end"/>
      </w:r>
    </w:p>
    <w:p>
      <w:pPr>
        <w:pStyle w:val="Default"/>
        <w:numPr>
          <w:ilvl w:val="0"/>
          <w:numId w:val="2"/>
        </w:numPr>
        <w:tabs>
          <w:tab w:val="clear" w:pos="709"/>
          <w:tab w:val="left" w:pos="400" w:leader="none"/>
        </w:tabs>
        <w:bidi w:val="0"/>
        <w:jc w:val="start"/>
        <w:rPr>
          <w:rFonts w:ascii="Calibri" w:hAnsi="Calibri"/>
          <w:b/>
          <w:bCs/>
          <w:sz w:val="20"/>
          <w:szCs w:val="20"/>
        </w:rPr>
      </w:pPr>
      <w:r>
        <w:rPr>
          <w:b/>
          <w:bCs/>
          <w:sz w:val="20"/>
          <w:szCs w:val="20"/>
        </w:rPr>
        <w:fldChar w:fldCharType="begin"/>
      </w:r>
      <w:r>
        <w:rPr>
          <w:b/>
          <w:bCs/>
          <w:sz w:val="20"/>
          <w:szCs w:val="20"/>
        </w:rPr>
        <w:instrText xml:space="preserve"> DOCPROPERTY "CoName"</w:instrText>
      </w:r>
      <w:r>
        <w:rPr>
          <w:b/>
          <w:bCs/>
          <w:sz w:val="20"/>
          <w:szCs w:val="20"/>
        </w:rPr>
        <w:fldChar w:fldCharType="separate"/>
      </w:r>
      <w:r>
        <w:rPr>
          <w:b/>
          <w:bCs/>
          <w:sz w:val="20"/>
          <w:szCs w:val="20"/>
        </w:rPr>
        <w:t>Habib Sugar Mills Limited</w:t>
      </w:r>
      <w:r>
        <w:rPr>
          <w:b/>
          <w:bCs/>
          <w:sz w:val="20"/>
          <w:szCs w:val="20"/>
        </w:rPr>
        <w:fldChar w:fldCharType="end"/>
      </w:r>
      <w:r>
        <w:rPr>
          <w:b/>
          <w:bCs/>
          <w:sz w:val="20"/>
          <w:szCs w:val="20"/>
        </w:rPr>
        <w:t xml:space="preserve">, Folio Nr. </w:t>
      </w:r>
      <w:r>
        <w:rPr>
          <w:b/>
          <w:bCs/>
          <w:sz w:val="20"/>
          <w:szCs w:val="20"/>
        </w:rPr>
        <w:fldChar w:fldCharType="begin"/>
      </w:r>
      <w:r>
        <w:rPr>
          <w:b/>
          <w:bCs/>
          <w:sz w:val="20"/>
          <w:szCs w:val="20"/>
        </w:rPr>
        <w:instrText xml:space="preserve"> DOCPROPERTY "CoFolio"</w:instrText>
      </w:r>
      <w:r>
        <w:rPr>
          <w:b/>
          <w:bCs/>
          <w:sz w:val="20"/>
          <w:szCs w:val="20"/>
        </w:rPr>
        <w:fldChar w:fldCharType="separate"/>
      </w:r>
      <w:r>
        <w:rPr>
          <w:b/>
          <w:bCs/>
          <w:sz w:val="20"/>
          <w:szCs w:val="20"/>
        </w:rPr>
        <w:t>9840</w:t>
      </w:r>
      <w:r>
        <w:rPr>
          <w:b/>
          <w:bCs/>
          <w:sz w:val="20"/>
          <w:szCs w:val="20"/>
        </w:rPr>
        <w:fldChar w:fldCharType="end"/>
      </w:r>
    </w:p>
    <w:p>
      <w:pPr>
        <w:pStyle w:val="Default"/>
        <w:tabs>
          <w:tab w:val="clear" w:pos="709"/>
          <w:tab w:val="left" w:pos="400" w:leader="none"/>
        </w:tabs>
        <w:bidi w:val="0"/>
        <w:jc w:val="start"/>
        <w:rPr>
          <w:rFonts w:ascii="Calibri" w:hAnsi="Calibri"/>
          <w:color w:val="auto"/>
          <w:sz w:val="20"/>
          <w:szCs w:val="20"/>
        </w:rPr>
      </w:pPr>
      <w:r>
        <w:rPr>
          <w:color w:val="auto"/>
          <w:sz w:val="20"/>
          <w:szCs w:val="20"/>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Dear Sirs, </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Referring to your letter, reference:</w:t>
      </w:r>
    </w:p>
    <w:tbl>
      <w:tblPr>
        <w:tblW w:w="10017" w:type="dxa"/>
        <w:jc w:val="start"/>
        <w:tblInd w:w="-30" w:type="dxa"/>
        <w:tblLayout w:type="fixed"/>
        <w:tblCellMar>
          <w:top w:w="0" w:type="dxa"/>
          <w:start w:w="29" w:type="dxa"/>
          <w:bottom w:w="0" w:type="dxa"/>
          <w:end w:w="29" w:type="dxa"/>
        </w:tblCellMar>
      </w:tblPr>
      <w:tblGrid>
        <w:gridCol w:w="750"/>
        <w:gridCol w:w="6433"/>
        <w:gridCol w:w="2834"/>
      </w:tblGrid>
      <w:tr>
        <w:trPr>
          <w:tblHeader w:val="true"/>
          <w:trHeight w:val="300" w:hRule="atLeast"/>
        </w:trPr>
        <w:tc>
          <w:tcPr>
            <w:tcW w:w="750" w:type="dxa"/>
            <w:tcBorders/>
            <w:vAlign w:val="bottom"/>
          </w:tcPr>
          <w:p>
            <w:pPr>
              <w:pStyle w:val="TableContents"/>
              <w:jc w:val="center"/>
              <w:rPr>
                <w:rFonts w:ascii="Calibri" w:hAnsi="Calibri"/>
                <w:b/>
                <w:bCs/>
                <w:sz w:val="20"/>
                <w:szCs w:val="20"/>
              </w:rPr>
            </w:pPr>
            <w:r>
              <w:rPr>
                <w:b/>
                <w:bCs/>
                <w:sz w:val="20"/>
                <w:szCs w:val="20"/>
              </w:rPr>
              <w:t>S #</w:t>
            </w:r>
          </w:p>
        </w:tc>
        <w:tc>
          <w:tcPr>
            <w:tcW w:w="6433" w:type="dxa"/>
            <w:tcBorders/>
            <w:vAlign w:val="bottom"/>
          </w:tcPr>
          <w:p>
            <w:pPr>
              <w:pStyle w:val="TableContents"/>
              <w:jc w:val="start"/>
              <w:rPr>
                <w:rFonts w:ascii="Calibri" w:hAnsi="Calibri"/>
                <w:b/>
                <w:bCs/>
                <w:sz w:val="20"/>
                <w:szCs w:val="20"/>
              </w:rPr>
            </w:pPr>
            <w:r>
              <w:rPr>
                <w:b/>
                <w:bCs/>
                <w:sz w:val="20"/>
                <w:szCs w:val="20"/>
              </w:rPr>
              <w:t>Reference #</w:t>
            </w:r>
          </w:p>
        </w:tc>
        <w:tc>
          <w:tcPr>
            <w:tcW w:w="2834" w:type="dxa"/>
            <w:tcBorders/>
            <w:vAlign w:val="bottom"/>
          </w:tcPr>
          <w:p>
            <w:pPr>
              <w:pStyle w:val="TableContents"/>
              <w:jc w:val="start"/>
              <w:rPr>
                <w:rFonts w:ascii="Calibri" w:hAnsi="Calibri"/>
                <w:b/>
                <w:bCs/>
                <w:sz w:val="20"/>
                <w:szCs w:val="20"/>
              </w:rPr>
            </w:pPr>
            <w:r>
              <w:rPr>
                <w:b/>
                <w:bCs/>
                <w:sz w:val="20"/>
                <w:szCs w:val="20"/>
              </w:rPr>
            </w:r>
          </w:p>
        </w:tc>
      </w:tr>
      <w:tr>
        <w:trPr>
          <w:trHeight w:val="300" w:hRule="atLeast"/>
        </w:trPr>
        <w:tc>
          <w:tcPr>
            <w:tcW w:w="750" w:type="dxa"/>
            <w:tcBorders/>
            <w:vAlign w:val="bottom"/>
          </w:tcPr>
          <w:p>
            <w:pPr>
              <w:pStyle w:val="TableContents"/>
              <w:numPr>
                <w:ilvl w:val="0"/>
                <w:numId w:val="4"/>
              </w:numPr>
              <w:jc w:val="start"/>
              <w:rPr>
                <w:rFonts w:ascii="Calibri" w:hAnsi="Calibri"/>
                <w:sz w:val="20"/>
                <w:szCs w:val="20"/>
              </w:rPr>
            </w:pPr>
            <w:r>
              <w:rPr>
                <w:sz w:val="20"/>
                <w:szCs w:val="20"/>
              </w:rPr>
            </w:r>
          </w:p>
        </w:tc>
        <w:tc>
          <w:tcPr>
            <w:tcW w:w="6433" w:type="dxa"/>
            <w:tcBorders/>
            <w:vAlign w:val="bottom"/>
          </w:tcPr>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"RefSender"</w:instrText>
            </w:r>
            <w:r>
              <w:rPr>
                <w:b w:val="false"/>
                <w:strike w:val="false"/>
                <w:dstrike w:val="false"/>
                <w:color w:val="auto"/>
                <w:sz w:val="20"/>
                <w:szCs w:val="20"/>
                <w:u w:val="none"/>
              </w:rPr>
              <w:fldChar w:fldCharType="separate"/>
            </w:r>
            <w:r>
              <w:rPr>
                <w:b w:val="false"/>
                <w:strike w:val="false"/>
                <w:dstrike w:val="false"/>
                <w:color w:val="auto"/>
                <w:sz w:val="20"/>
                <w:szCs w:val="20"/>
                <w:u w:val="none"/>
              </w:rPr>
              <w:t>THK-SR HSML TRN 25 02 272</w:t>
            </w:r>
            <w:r>
              <w:rPr>
                <w:b w:val="false"/>
                <w:strike w:val="false"/>
                <w:dstrike w:val="false"/>
                <w:color w:val="auto"/>
                <w:sz w:val="20"/>
                <w:szCs w:val="20"/>
                <w:u w:val="none"/>
              </w:rPr>
              <w:fldChar w:fldCharType="end"/>
            </w:r>
          </w:p>
        </w:tc>
        <w:tc>
          <w:tcPr>
            <w:tcW w:w="2834" w:type="dxa"/>
            <w:tcBorders/>
            <w:vAlign w:val="bottom"/>
          </w:tcPr>
          <w:p>
            <w:pPr>
              <w:pStyle w:val="TableContents"/>
              <w:jc w:val="start"/>
              <w:rPr>
                <w:rFonts w:ascii="Calibri" w:hAnsi="Calibri"/>
                <w:sz w:val="20"/>
                <w:szCs w:val="20"/>
              </w:rPr>
            </w:pPr>
            <w:r>
              <w:rPr>
                <w:sz w:val="20"/>
                <w:szCs w:val="20"/>
              </w:rPr>
            </w:r>
          </w:p>
        </w:tc>
      </w:tr>
    </w:tbl>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In connection with the captioned subject and to enable you to transmit the shares in favor of the legal heirs, enclosed please find the copies of Mr. Idrees and Mr. Anees, duly attested by the Notary Public / Oath Commissioner. </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Considering that =822= shares against Folio Nr. </w:t>
      </w: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"CoFolio"</w:instrText>
      </w:r>
      <w:r>
        <w:rPr>
          <w:b w:val="false"/>
          <w:strike w:val="false"/>
          <w:dstrike w:val="false"/>
          <w:color w:val="auto"/>
          <w:sz w:val="20"/>
          <w:szCs w:val="20"/>
          <w:u w:val="none"/>
        </w:rPr>
        <w:fldChar w:fldCharType="separate"/>
      </w:r>
      <w:r>
        <w:rPr>
          <w:b w:val="false"/>
          <w:strike w:val="false"/>
          <w:dstrike w:val="false"/>
          <w:color w:val="auto"/>
          <w:sz w:val="20"/>
          <w:szCs w:val="20"/>
          <w:u w:val="none"/>
        </w:rPr>
        <w:t>9840</w:t>
      </w:r>
      <w:r>
        <w:rPr>
          <w:b w:val="false"/>
          <w:strike w:val="false"/>
          <w:dstrike w:val="false"/>
          <w:color w:val="auto"/>
          <w:sz w:val="20"/>
          <w:szCs w:val="20"/>
          <w:u w:val="none"/>
        </w:rPr>
        <w:fldChar w:fldCharType="end"/>
      </w:r>
      <w:r>
        <w:rPr>
          <w:b w:val="false"/>
          <w:strike w:val="false"/>
          <w:dstrike w:val="false"/>
          <w:color w:val="auto"/>
          <w:sz w:val="20"/>
          <w:szCs w:val="20"/>
          <w:u w:val="none"/>
        </w:rPr>
        <w:t xml:space="preserve"> are not traceable, please find the following documents to enable you to issue Duplicate Certificates for the purpose of transmission.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Letter of Indemnity on Rs.500/- E-Stamp Paper, duly signed by myself, the executant, and attested by my Banker along with the stamp in original;</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photocopy of my CNIC;</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copies of CNIC of the 2 persons witnessing the Letter of Indemnity;</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Publication in Leading Newspapers date 14-May-2026 (one in Urdu and other in English) notifying the loss of Share Certificates:</w:t>
      </w:r>
    </w:p>
    <w:p>
      <w:pPr>
        <w:pStyle w:val="Default"/>
        <w:numPr>
          <w:ilvl w:val="1"/>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Urdu: Express News, page number 4, column number 3;</w:t>
      </w:r>
    </w:p>
    <w:p>
      <w:pPr>
        <w:pStyle w:val="Default"/>
        <w:numPr>
          <w:ilvl w:val="1"/>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English: The Nation page number 4, column number 2.</w:t>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sz w:val="20"/>
          <w:szCs w:val="20"/>
        </w:rPr>
      </w:pPr>
      <w:r>
        <w:rPr>
          <w:sz w:val="20"/>
          <w:szCs w:val="20"/>
        </w:rPr>
        <w:t>Thank you and wishing you the best.</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Yours Faithfully, </w:t>
      </w:r>
    </w:p>
    <w:p>
      <w:pPr>
        <w:pStyle w:val="Default"/>
        <w:tabs>
          <w:tab w:val="clear" w:pos="709"/>
          <w:tab w:val="left" w:pos="400" w:leader="none"/>
        </w:tabs>
        <w:bidi w:val="0"/>
        <w:jc w:val="start"/>
        <w:rPr>
          <w:rFonts w:ascii="Calibri" w:hAnsi="Calibri"/>
          <w:sz w:val="20"/>
          <w:szCs w:val="20"/>
        </w:rPr>
      </w:pPr>
      <w:r>
        <w:rPr>
          <w:sz w:val="20"/>
          <w:szCs w:val="20"/>
        </w:rPr>
        <w:drawing>
          <wp:anchor distT="0" distB="0" distL="0" distR="0" simplePos="0" relativeHeight="2" behindDoc="0" locked="0" layoutInCell="1" allowOverlap="1">
            <wp:simplePos x="0" y="0"/>
            <wp:positionH relativeFrom="column">
              <wp:posOffset>149860</wp:posOffset>
            </wp:positionH>
            <wp:positionV relativeFrom="paragraph">
              <wp:posOffset>635</wp:posOffset>
            </wp:positionV>
            <wp:extent cx="1151890" cy="46799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151890" cy="467995"/>
                    </a:xfrm>
                    <a:prstGeom prst="rect">
                      <a:avLst/>
                    </a:prstGeom>
                    <a:noFill/>
                  </pic:spPr>
                </pic:pic>
              </a:graphicData>
            </a:graphic>
          </wp:anchor>
        </w:drawing>
      </w:r>
    </w:p>
    <w:p>
      <w:pPr>
        <w:pStyle w:val="Default"/>
        <w:tabs>
          <w:tab w:val="clear" w:pos="709"/>
          <w:tab w:val="left" w:pos="400" w:leader="none"/>
        </w:tabs>
        <w:bidi w:val="0"/>
        <w:jc w:val="start"/>
        <w:rPr>
          <w:rFonts w:ascii="Calibri" w:hAnsi="Calibri"/>
          <w:sz w:val="20"/>
          <w:szCs w:val="20"/>
        </w:rPr>
      </w:pPr>
      <w:r>
        <w:rPr>
          <w:sz w:val="20"/>
          <w:szCs w:val="20"/>
        </w:rPr>
        <w:t>_____________________</w:t>
      </w:r>
    </w:p>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t>Muhammad Ilyas Khan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21, Ghulam Nabi Colony</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Samanabad, Lahore, 54500</w:t>
            </w:r>
          </w:p>
        </w:tc>
        <w:tc>
          <w:tcPr>
            <w:tcW w:w="5113" w:type="dxa"/>
            <w:tcBorders/>
          </w:tcPr>
          <w:p>
            <w:pPr>
              <w:pStyle w:val="Default"/>
              <w:tabs>
                <w:tab w:val="clear" w:pos="709"/>
                <w:tab w:val="left" w:pos="400" w:leader="none"/>
              </w:tabs>
              <w:bidi w:val="0"/>
              <w:jc w:val="start"/>
              <w:rPr>
                <w:rFonts w:ascii="Calibri" w:hAnsi="Calibri"/>
                <w:sz w:val="20"/>
                <w:szCs w:val="20"/>
              </w:rPr>
            </w:pPr>
            <w:r>
              <w:rPr>
                <w:b/>
                <w:bCs/>
                <w:strike w:val="false"/>
                <w:dstrike w:val="false"/>
                <w:color w:val="auto"/>
                <w:sz w:val="20"/>
                <w:szCs w:val="20"/>
                <w:u w:val="none"/>
              </w:rPr>
              <w:t>CNIC</w:t>
            </w:r>
            <w:r>
              <w:rPr>
                <w:b w:val="false"/>
                <w:strike w:val="false"/>
                <w:dstrike w:val="false"/>
                <w:color w:val="auto"/>
                <w:sz w:val="20"/>
                <w:szCs w:val="20"/>
                <w:u w:val="none"/>
              </w:rPr>
              <w:t>: 35202-2834819-5</w:t>
            </w:r>
          </w:p>
          <w:p>
            <w:pPr>
              <w:pStyle w:val="Default"/>
              <w:tabs>
                <w:tab w:val="clear" w:pos="709"/>
                <w:tab w:val="left" w:pos="400" w:leader="none"/>
              </w:tabs>
              <w:bidi w:val="0"/>
              <w:jc w:val="both"/>
              <w:rPr>
                <w:rFonts w:ascii="Calibri" w:hAnsi="Calibri"/>
                <w:sz w:val="20"/>
                <w:szCs w:val="20"/>
              </w:rPr>
            </w:pPr>
            <w:r>
              <w:rPr>
                <w:b/>
                <w:sz w:val="20"/>
                <w:szCs w:val="20"/>
              </w:rPr>
              <w:t xml:space="preserve">Contact: </w:t>
            </w:r>
            <w:r>
              <w:rPr>
                <w:sz w:val="20"/>
                <w:szCs w:val="20"/>
              </w:rPr>
              <w:t>0301 443 0802</w:t>
            </w:r>
          </w:p>
        </w:tc>
      </w:tr>
    </w:tbl>
    <w:p>
      <w:pPr>
        <w:pStyle w:val="Default"/>
        <w:tabs>
          <w:tab w:val="clear" w:pos="709"/>
          <w:tab w:val="left" w:pos="400" w:leader="none"/>
        </w:tabs>
        <w:bidi w:val="0"/>
        <w:jc w:val="start"/>
        <w:rPr>
          <w:rFonts w:ascii="Calibri" w:hAnsi="Calibri"/>
          <w:b/>
          <w:strike w:val="false"/>
          <w:dstrike w:val="false"/>
          <w:color w:val="auto"/>
          <w:sz w:val="20"/>
          <w:szCs w:val="20"/>
          <w:u w:val="none"/>
        </w:rPr>
      </w:pPr>
      <w:r>
        <w:rPr>
          <w:b/>
          <w:strike w:val="false"/>
          <w:dstrike w:val="false"/>
          <w:color w:val="auto"/>
          <w:sz w:val="20"/>
          <w:szCs w:val="20"/>
          <w:u w:val="none"/>
        </w:rPr>
      </w:r>
    </w:p>
    <w:sectPr>
      <w:footerReference w:type="even" r:id="rId3"/>
      <w:footerReference w:type="default" r:id="rId4"/>
      <w:footerReference w:type="first" r:id="rId5"/>
      <w:type w:val="nextPage"/>
      <w:pgSz w:w="12240" w:h="15840"/>
      <w:pgMar w:left="1008" w:right="1008" w:gutter="0" w:header="0" w:top="1008" w:footer="720" w:bottom="1279"/>
      <w:pgNumType w:fmt="decimal"/>
      <w:formProt w:val="false"/>
      <w:textDirection w:val="lrTb"/>
      <w:docGrid w:type="default" w:linePitch="312"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OpenSymbol">
    <w:altName w:val="Arial Unicode MS"/>
    <w:charset w:val="00" w:characterSet="windows-1252"/>
    <w:family w:val="swiss"/>
    <w:pitch w:val="variable"/>
  </w:font>
  <w:font w:name="Liberation Mono">
    <w:altName w:val="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Calibri" w:hAnsi="Calibri"/>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Calibri" w:hAnsi="Calibri"/>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0"/>
  <w:defaultTabStop w:val="709"/>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Calibri" w:hAnsi="Calibri" w:eastAsia="NSimSun" w:cs="Tahoma"/>
      <w:color w:val="auto"/>
      <w:kern w:val="2"/>
      <w:sz w:val="20"/>
      <w:szCs w:val="24"/>
      <w:lang w:val="en-US" w:eastAsia="zh-CN" w:bidi="ur-PK"/>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lang w:val="zxx" w:eastAsia="zxx" w:bidi="zxx"/>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lang w:val="zxx" w:eastAsia="zxx" w:bidi="zxx"/>
    </w:rPr>
  </w:style>
  <w:style w:type="paragraph" w:styleId="Default">
    <w:name w:val="Default"/>
    <w:qFormat/>
    <w:pPr>
      <w:widowControl/>
      <w:suppressAutoHyphens w:val="true"/>
      <w:overflowPunct w:val="true"/>
      <w:bidi w:val="0"/>
      <w:spacing w:before="0" w:after="0"/>
      <w:jc w:val="start"/>
    </w:pPr>
    <w:rPr>
      <w:rFonts w:ascii="Calibri" w:hAnsi="Calibri" w:eastAsia="NSimSun" w:cs="Tahoma"/>
      <w:color w:val="000000"/>
      <w:kern w:val="2"/>
      <w:sz w:val="22"/>
      <w:szCs w:val="24"/>
      <w:lang w:val="en-US" w:eastAsia="zh-CN" w:bidi="ur-PK"/>
    </w:rPr>
  </w:style>
  <w:style w:type="paragraph" w:styleId="TableContents">
    <w:name w:val="Table Contents"/>
    <w:basedOn w:val="Normal"/>
    <w:qFormat/>
    <w:pPr>
      <w:widowControl w:val="false"/>
      <w:suppressLineNumbers/>
    </w:pPr>
    <w:rPr>
      <w:rFonts w:ascii="Calibri" w:hAnsi="Calibri" w:cs="Liberation Serif"/>
      <w:sz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Heading">
    <w:name w:val="Table Heading"/>
    <w:basedOn w:val="TableContents"/>
    <w:qFormat/>
    <w:pPr>
      <w:suppressLineNumbers/>
      <w:jc w:val="center"/>
    </w:pPr>
    <w:rPr>
      <w:b/>
      <w:bCs/>
    </w:rPr>
  </w:style>
  <w:style w:type="paragraph" w:styleId="BodyTextFirstIndent">
    <w:name w:val="Body Text First Indent"/>
    <w:basedOn w:val="BodyText"/>
    <w:pPr>
      <w:ind w:firstLine="283" w:start="0"/>
    </w:pPr>
    <w:rPr/>
  </w:style>
  <w:style w:type="paragraph" w:styleId="statusheading">
    <w:name w:val="status_heading"/>
    <w:basedOn w:val="Normal"/>
    <w:next w:val="Normal"/>
    <w:qFormat/>
    <w:pPr/>
    <w:rPr>
      <w:rFonts w:ascii="Calibri" w:hAnsi="Calibri"/>
      <w:b/>
      <w:sz w:val="20"/>
      <w:u w:val="single"/>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3724</TotalTime>
  <Application>LibreOffice/26.2.1.2$Windows_X86_64 LibreOffice_project/620$Build-2</Application>
  <AppVersion>15.0000</AppVersion>
  <Pages>1</Pages>
  <Words>246</Words>
  <Characters>1282</Characters>
  <CharactersWithSpaces>1493</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2024-06-11T03:30:00Z</dcterms:created>
  <dc:creator>Tayyab Baloch</dc:creator>
  <dc:description/>
  <dc:language>en-US</dc:language>
  <cp:lastModifiedBy/>
  <cp:lastPrinted>2024-10-20T20:43:38Z</cp:lastPrinted>
  <dcterms:modified xsi:type="dcterms:W3CDTF">2026-05-31T12:35:30Z</dcterms:modified>
  <cp:revision>422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Folio">
    <vt:lpwstr>9840</vt:lpwstr>
  </property>
  <property fmtid="{D5CDD505-2E9C-101B-9397-08002B2CF9AE}" pid="3" name="CoName">
    <vt:lpwstr>Habib Sugar Mills Limited</vt:lpwstr>
  </property>
  <property fmtid="{D5CDD505-2E9C-101B-9397-08002B2CF9AE}" pid="4" name="CoTicker">
    <vt:lpwstr>HABSM</vt:lpwstr>
  </property>
  <property fmtid="{D5CDD505-2E9C-101B-9397-08002B2CF9AE}" pid="5" name="DateOfDispatch">
    <vt:lpwstr>June 1, 2026</vt:lpwstr>
  </property>
  <property fmtid="{D5CDD505-2E9C-101B-9397-08002B2CF9AE}" pid="6" name="RefSender">
    <vt:lpwstr>THK-SR HSML TRN 25 02 272</vt:lpwstr>
  </property>
  <property fmtid="{D5CDD505-2E9C-101B-9397-08002B2CF9AE}" pid="7" name="Reference">
    <vt:lpwstr>2601</vt:lpwstr>
  </property>
  <property fmtid="{D5CDD505-2E9C-101B-9397-08002B2CF9AE}" pid="8" name="Subject">
    <vt:lpwstr>Transmission of =13,775= Shares and Unclaimed Dividends held by Late Mohammad Ayub Khan</vt:lpwstr>
  </property>
</Properties>
</file>