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Al-noor Sugar Mills Limited</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96-A, Sindi Muslim Society,</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Karachi – 74400</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Tel: 3450161-63</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right"/>
        <w:rPr/>
      </w:pPr>
      <w:r>
        <w:rPr>
          <w:rStyle w:val="Strong"/>
          <w:rFonts w:ascii="Calibri" w:hAnsi="Calibri"/>
          <w:b w:val="false"/>
          <w:bCs w:val="false"/>
          <w:i w:val="false"/>
          <w:caps w:val="false"/>
          <w:smallCaps w:val="false"/>
          <w:color w:val="333333"/>
          <w:sz w:val="20"/>
          <w:szCs w:val="20"/>
        </w:rPr>
        <w:t>November 3, 2025</w:t>
      </w:r>
    </w:p>
    <w:p>
      <w:pPr>
        <w:pStyle w:val="Default"/>
        <w:bidi w:val="0"/>
        <w:jc w:val="right"/>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"SendingReference"</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ALNRS-MAK-25-01-ALNRS-KHAN-0197-TDS</w:t>
      </w:r>
      <w:r>
        <w:rPr>
          <w:rStyle w:val="Strong"/>
          <w:smallCaps w:val="false"/>
          <w:caps w:val="false"/>
          <w:sz w:val="20"/>
          <w:i w:val="false"/>
          <w:b w:val="false"/>
          <w:szCs w:val="20"/>
          <w:bCs w:val="false"/>
          <w:rFonts w:ascii="Calibri" w:hAnsi="Calibri"/>
          <w:color w:val="333333"/>
        </w:rPr>
        <w:fldChar w:fldCharType="end"/>
      </w:r>
    </w:p>
    <w:p>
      <w:pPr>
        <w:pStyle w:val="Default"/>
        <w:bidi w:val="0"/>
        <w:jc w:val="left"/>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"Subject"</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STATUS OF Transmission of Shares and Dividends – Late Mohammad Ayub Khan, CNIC: 35200-1521538-7</w:t>
      </w:r>
      <w:r>
        <w:rPr>
          <w:rStyle w:val="Strong"/>
          <w:smallCaps w:val="false"/>
          <w:caps w:val="false"/>
          <w:sz w:val="20"/>
          <w:i w:val="false"/>
          <w:b w:val="false"/>
          <w:szCs w:val="20"/>
          <w:bCs w:val="false"/>
          <w:rFonts w:ascii="Calibri" w:hAnsi="Calibri"/>
          <w:color w:val="333333"/>
        </w:rPr>
        <w:fldChar w:fldCharType="end"/>
      </w:r>
    </w:p>
    <w:p>
      <w:pPr>
        <w:pStyle w:val="Default"/>
        <w:numPr>
          <w:ilvl w:val="0"/>
          <w:numId w:val="1"/>
        </w:numPr>
        <w:bidi w:val="0"/>
        <w:jc w:val="left"/>
        <w:rPr>
          <w:sz w:val="20"/>
          <w:szCs w:val="20"/>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"SubjectReference"</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Alnoor Sugar Mills Ltd., Folio # KHAN-0197</w:t>
      </w:r>
      <w:r>
        <w:rPr>
          <w:rStyle w:val="Strong"/>
          <w:smallCaps w:val="false"/>
          <w:caps w:val="false"/>
          <w:sz w:val="20"/>
          <w:i w:val="false"/>
          <w:b w:val="false"/>
          <w:szCs w:val="20"/>
          <w:bCs w:val="false"/>
          <w:rFonts w:ascii="Calibri" w:hAnsi="Calibri"/>
          <w:color w:val="333333"/>
        </w:rPr>
        <w:fldChar w:fldCharType="end"/>
      </w:r>
    </w:p>
    <w:p>
      <w:pPr>
        <w:pStyle w:val="Default"/>
        <w:bidi w:val="0"/>
        <w:jc w:val="left"/>
        <w:rPr>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Dear Sirs,</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Unfortunately, and as shall we all, our mother passed away on November 17, 2004 and our father passed away on August 27, 2008.</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Our father namely Muhammad Ayub Khan s/o Sarwar Din bearing CNIC number 35200-1521538-7 was a shareholder of the referenced Company as per his legacy of records found.</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We are the only legal heirs of our deceased parents. Accordingly, the following physical share certificates were found from the legacy of our father.</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tbl>
      <w:tblPr>
        <w:tblW w:w="10105" w:type="dxa"/>
        <w:jc w:val="left"/>
        <w:tblInd w:w="-1" w:type="dxa"/>
        <w:tblLayout w:type="fixed"/>
        <w:tblCellMar>
          <w:top w:w="0" w:type="dxa"/>
          <w:left w:w="29" w:type="dxa"/>
          <w:bottom w:w="0" w:type="dxa"/>
          <w:right w:w="29" w:type="dxa"/>
        </w:tblCellMar>
      </w:tblPr>
      <w:tblGrid>
        <w:gridCol w:w="1965"/>
        <w:gridCol w:w="1532"/>
        <w:gridCol w:w="2430"/>
        <w:gridCol w:w="1942"/>
        <w:gridCol w:w="828"/>
        <w:gridCol w:w="1407"/>
      </w:tblGrid>
      <w:tr>
        <w:trPr>
          <w:trHeight w:val="256" w:hRule="atLeast"/>
        </w:trPr>
        <w:tc>
          <w:tcPr>
            <w:tcW w:w="1965" w:type="dxa"/>
            <w:tcBorders>
              <w:top w:val="single" w:sz="2" w:space="0" w:color="000000"/>
              <w:left w:val="single" w:sz="2" w:space="0" w:color="000000"/>
              <w:bottom w:val="single" w:sz="2" w:space="0" w:color="000000"/>
            </w:tcBorders>
            <w:vAlign w:val="bottom"/>
          </w:tcPr>
          <w:p>
            <w:pPr>
              <w:pStyle w:val="Normal"/>
              <w:tabs>
                <w:tab w:val="clear" w:pos="709"/>
              </w:tabs>
              <w:jc w:val="center"/>
              <w:rPr/>
            </w:pPr>
            <w:r>
              <w:rPr>
                <w:rStyle w:val="Strong"/>
                <w:rFonts w:ascii="Calibri" w:hAnsi="Calibri"/>
                <w:b/>
                <w:bCs/>
                <w:i w:val="false"/>
                <w:caps w:val="false"/>
                <w:smallCaps w:val="false"/>
                <w:color w:val="333333"/>
                <w:sz w:val="20"/>
                <w:szCs w:val="20"/>
              </w:rPr>
              <w:t>Folio Nr.</w:t>
            </w:r>
          </w:p>
        </w:tc>
        <w:tc>
          <w:tcPr>
            <w:tcW w:w="1532"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Cert. Nr.</w:t>
            </w:r>
          </w:p>
        </w:tc>
        <w:tc>
          <w:tcPr>
            <w:tcW w:w="2430"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Dist. Nr. From</w:t>
            </w:r>
          </w:p>
        </w:tc>
        <w:tc>
          <w:tcPr>
            <w:tcW w:w="1942"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Dist. Nr. To</w:t>
            </w:r>
          </w:p>
        </w:tc>
        <w:tc>
          <w:tcPr>
            <w:tcW w:w="828"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QTY</w:t>
            </w:r>
          </w:p>
        </w:tc>
        <w:tc>
          <w:tcPr>
            <w:tcW w:w="1407" w:type="dxa"/>
            <w:tcBorders>
              <w:left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89703</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5334240</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5334259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101052</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6397082</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6397085</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114370</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7656896</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7656899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128725</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9021021</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9021024</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141181</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10188064</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10188066</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3</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152847</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11293334</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11293338</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170420</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12970755</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1290759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missing</w:t>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186114</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14463755</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14463758</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197426</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15909481</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15909484</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202298</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17501493</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17501497</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205652</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18600458</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18600459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206576</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19530363</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19530365</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3</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1532"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2430"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1942" w:type="dxa"/>
            <w:tcBorders/>
            <w:vAlign w:val="bottom"/>
          </w:tcPr>
          <w:p>
            <w:pPr>
              <w:pStyle w:val="Normal"/>
              <w:tabs>
                <w:tab w:val="clear" w:pos="709"/>
              </w:tabs>
              <w:jc w:val="center"/>
              <w:rPr>
                <w:rFonts w:ascii="Calibri" w:hAnsi="Calibri"/>
                <w:sz w:val="20"/>
                <w:szCs w:val="20"/>
              </w:rPr>
            </w:pPr>
            <w:r>
              <w:rPr>
                <w:rFonts w:ascii="Calibri" w:hAnsi="Calibri"/>
                <w:sz w:val="20"/>
                <w:szCs w:val="20"/>
              </w:rPr>
              <w:t>Total</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=sum (E2:E13)</w:instrText>
            </w:r>
            <w:r>
              <w:rPr>
                <w:sz w:val="20"/>
                <w:szCs w:val="20"/>
                <w:rFonts w:ascii="Calibri" w:hAnsi="Calibri"/>
              </w:rPr>
              <w:fldChar w:fldCharType="separate"/>
            </w:r>
            <w:r>
              <w:rPr>
                <w:sz w:val="20"/>
                <w:szCs w:val="20"/>
                <w:rFonts w:ascii="Calibri" w:hAnsi="Calibri"/>
              </w:rPr>
              <w:t>63</w:t>
            </w:r>
            <w:r>
              <w:rPr>
                <w:sz w:val="20"/>
                <w:szCs w:val="20"/>
                <w:rFonts w:ascii="Calibri" w:hAnsi="Calibri"/>
              </w:rPr>
              <w:fldChar w:fldCharType="end"/>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bl>
    <w:p>
      <w:pPr>
        <w:pStyle w:val="Normal"/>
        <w:rPr/>
      </w:pPr>
      <w:r>
        <w:rPr/>
      </w:r>
    </w:p>
    <w:p>
      <w:pPr>
        <w:pStyle w:val="Normal"/>
        <w:bidi w:val="0"/>
        <w:jc w:val="left"/>
        <w:rPr/>
      </w:pPr>
      <w:r>
        <w:rPr>
          <w:rStyle w:val="Strong"/>
          <w:rFonts w:ascii="Calibri" w:hAnsi="Calibri"/>
          <w:b w:val="false"/>
          <w:bCs w:val="false"/>
          <w:i w:val="false"/>
          <w:caps w:val="false"/>
          <w:smallCaps w:val="false"/>
          <w:color w:val="333333"/>
          <w:sz w:val="20"/>
          <w:szCs w:val="20"/>
        </w:rPr>
        <w:t>After receiving information from the Registrar &amp; Share Registration Office, M/s. C &amp; K Management Associates (Pvt) Ltd., the legal heirs dispatched the following documents on December 24, 2024 for filing of Transmission of Shares and Dividends, including Succession Certificate, all physical shares and other documents listed below:</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Normal"/>
        <w:numPr>
          <w:ilvl w:val="0"/>
          <w:numId w:val="2"/>
        </w:numPr>
        <w:bidi w:val="0"/>
        <w:rPr>
          <w:rFonts w:ascii="Calibri" w:hAnsi="Calibri"/>
          <w:sz w:val="22"/>
          <w:szCs w:val="22"/>
        </w:rPr>
      </w:pPr>
      <w:r>
        <w:rPr>
          <w:rFonts w:ascii="Calibri" w:hAnsi="Calibri"/>
          <w:sz w:val="20"/>
          <w:szCs w:val="20"/>
        </w:rPr>
        <w:t>Notarized copy of Succession Certificate issued by NADRA.</w:t>
      </w:r>
    </w:p>
    <w:p>
      <w:pPr>
        <w:pStyle w:val="Normal"/>
        <w:numPr>
          <w:ilvl w:val="0"/>
          <w:numId w:val="2"/>
        </w:numPr>
        <w:bidi w:val="0"/>
        <w:rPr>
          <w:rFonts w:ascii="Calibri" w:hAnsi="Calibri"/>
          <w:sz w:val="22"/>
          <w:szCs w:val="22"/>
        </w:rPr>
      </w:pPr>
      <w:r>
        <w:rPr>
          <w:rFonts w:ascii="Calibri" w:hAnsi="Calibri"/>
          <w:sz w:val="20"/>
          <w:szCs w:val="20"/>
        </w:rPr>
        <w:t>Notarized copy of Death Certificate of the deceased shareholder.</w:t>
      </w:r>
    </w:p>
    <w:p>
      <w:pPr>
        <w:pStyle w:val="Normal"/>
        <w:numPr>
          <w:ilvl w:val="0"/>
          <w:numId w:val="2"/>
        </w:numPr>
        <w:bidi w:val="0"/>
        <w:rPr>
          <w:rFonts w:ascii="Calibri" w:hAnsi="Calibri"/>
          <w:sz w:val="22"/>
          <w:szCs w:val="22"/>
        </w:rPr>
      </w:pPr>
      <w:r>
        <w:rPr>
          <w:rFonts w:ascii="Calibri" w:hAnsi="Calibri"/>
          <w:sz w:val="20"/>
          <w:szCs w:val="20"/>
        </w:rPr>
        <w:t>Notarized copy of CNIC of the deceased shareholder.</w:t>
      </w:r>
    </w:p>
    <w:p>
      <w:pPr>
        <w:pStyle w:val="Normal"/>
        <w:numPr>
          <w:ilvl w:val="0"/>
          <w:numId w:val="2"/>
        </w:numPr>
        <w:bidi w:val="0"/>
        <w:rPr>
          <w:rFonts w:ascii="Calibri" w:hAnsi="Calibri"/>
          <w:sz w:val="22"/>
          <w:szCs w:val="22"/>
        </w:rPr>
      </w:pPr>
      <w:r>
        <w:rPr>
          <w:rFonts w:ascii="Calibri" w:hAnsi="Calibri"/>
          <w:sz w:val="20"/>
          <w:szCs w:val="20"/>
        </w:rPr>
        <w:t>Notarized copy of CNICs of all 3 legal heirs.</w:t>
      </w:r>
    </w:p>
    <w:p>
      <w:pPr>
        <w:pStyle w:val="Normal"/>
        <w:numPr>
          <w:ilvl w:val="0"/>
          <w:numId w:val="2"/>
        </w:numPr>
        <w:bidi w:val="0"/>
        <w:rPr>
          <w:rFonts w:ascii="Calibri" w:hAnsi="Calibri"/>
          <w:sz w:val="20"/>
          <w:szCs w:val="20"/>
        </w:rPr>
      </w:pPr>
      <w:r>
        <w:rPr>
          <w:rFonts w:ascii="Calibri" w:hAnsi="Calibri"/>
          <w:sz w:val="20"/>
          <w:szCs w:val="20"/>
        </w:rPr>
        <w:t>All share certificates of respective Company distinguished by relative Folio Nos.</w:t>
      </w:r>
    </w:p>
    <w:p>
      <w:pPr>
        <w:pStyle w:val="Normal"/>
        <w:numPr>
          <w:ilvl w:val="0"/>
          <w:numId w:val="2"/>
        </w:numPr>
        <w:bidi w:val="0"/>
        <w:rPr>
          <w:rFonts w:ascii="Calibri" w:hAnsi="Calibri"/>
          <w:sz w:val="22"/>
          <w:szCs w:val="22"/>
        </w:rPr>
      </w:pPr>
      <w:r>
        <w:rPr>
          <w:rFonts w:ascii="Calibri" w:hAnsi="Calibri"/>
          <w:sz w:val="20"/>
          <w:szCs w:val="20"/>
        </w:rPr>
        <w:t>Account Maintenance Certificate of Muhammad Ilyas Khan and Raja Muhammad Anees Khan.</w:t>
      </w:r>
    </w:p>
    <w:p>
      <w:pPr>
        <w:pStyle w:val="Normal"/>
        <w:numPr>
          <w:ilvl w:val="0"/>
          <w:numId w:val="2"/>
        </w:numPr>
        <w:bidi w:val="0"/>
        <w:rPr>
          <w:rFonts w:ascii="Calibri" w:hAnsi="Calibri"/>
          <w:sz w:val="22"/>
          <w:szCs w:val="22"/>
        </w:rPr>
      </w:pPr>
      <w:r>
        <w:rPr>
          <w:rFonts w:ascii="Calibri" w:hAnsi="Calibri"/>
          <w:sz w:val="20"/>
          <w:szCs w:val="20"/>
        </w:rPr>
        <w:t>Letters of Request duly filled and signed by all the 3 legal heirs separately.</w:t>
      </w:r>
    </w:p>
    <w:p>
      <w:pPr>
        <w:pStyle w:val="Normal"/>
        <w:numPr>
          <w:ilvl w:val="0"/>
          <w:numId w:val="2"/>
        </w:numPr>
        <w:bidi w:val="0"/>
        <w:rPr>
          <w:rFonts w:ascii="Calibri" w:hAnsi="Calibri"/>
          <w:sz w:val="22"/>
          <w:szCs w:val="22"/>
        </w:rPr>
      </w:pPr>
      <w:r>
        <w:rPr>
          <w:rFonts w:ascii="Calibri" w:hAnsi="Calibri"/>
          <w:sz w:val="20"/>
          <w:szCs w:val="20"/>
        </w:rPr>
        <w:t>Notarized copy of CNIC of the 2 persons witnessing the deed.</w:t>
      </w:r>
    </w:p>
    <w:p>
      <w:pPr>
        <w:pStyle w:val="Normal"/>
        <w:numPr>
          <w:ilvl w:val="0"/>
          <w:numId w:val="2"/>
        </w:numPr>
        <w:bidi w:val="0"/>
        <w:rPr>
          <w:rFonts w:ascii="Calibri" w:hAnsi="Calibri"/>
          <w:sz w:val="22"/>
          <w:szCs w:val="22"/>
        </w:rPr>
      </w:pPr>
      <w:r>
        <w:rPr>
          <w:rStyle w:val="Strong"/>
          <w:rFonts w:ascii="Calibri" w:hAnsi="Calibri"/>
          <w:b w:val="false"/>
          <w:bCs w:val="false"/>
          <w:i w:val="false"/>
          <w:caps w:val="false"/>
          <w:smallCaps w:val="false"/>
          <w:color w:val="333333"/>
          <w:sz w:val="20"/>
          <w:szCs w:val="20"/>
        </w:rPr>
        <w:t>Notarized copy of Family Registration Certificate, FRC, of the deceased shareholder.</w:t>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u w:val="double"/>
        </w:rPr>
      </w:pPr>
      <w:r>
        <w:rPr>
          <w:rFonts w:ascii="Calibri" w:hAnsi="Calibri"/>
          <w:sz w:val="22"/>
          <w:szCs w:val="22"/>
        </w:rPr>
        <w:t>As a result, the legal heirs have not received any update in this regard from the Registrar. Consequently, the legal heirs wish to inquire from your good office the next steps they need to take to move forward the process of Transmission of Shares of the Deceased’s case.</w:t>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rPr>
      </w:pPr>
      <w:r>
        <w:rPr>
          <w:rStyle w:val="Strong"/>
          <w:rFonts w:ascii="Calibri" w:hAnsi="Calibri"/>
          <w:b w:val="false"/>
          <w:bCs w:val="false"/>
          <w:i w:val="false"/>
          <w:caps w:val="false"/>
          <w:smallCaps w:val="false"/>
          <w:color w:val="333333"/>
          <w:sz w:val="20"/>
          <w:szCs w:val="20"/>
        </w:rPr>
        <w:t>Thank you and kind regards,</w:t>
      </w:r>
    </w:p>
    <w:p>
      <w:pPr>
        <w:pStyle w:val="Normal"/>
        <w:bidi w:val="0"/>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 xml:space="preserve">Yours Faithfully, </w:t>
      </w:r>
    </w:p>
    <w:p>
      <w:pPr>
        <w:pStyle w:val="Normal"/>
        <w:bidi w:val="0"/>
        <w:jc w:val="left"/>
        <w:rPr>
          <w:rFonts w:ascii="Calibri" w:hAnsi="Calibri"/>
          <w:sz w:val="20"/>
          <w:szCs w:val="20"/>
        </w:rPr>
      </w:pPr>
      <w:r>
        <w:rPr>
          <w:rFonts w:ascii="Calibri" w:hAnsi="Calibri"/>
          <w:sz w:val="20"/>
          <w:szCs w:val="20"/>
        </w:rPr>
        <mc:AlternateContent>
          <mc:Choice Requires="wps">
            <w:drawing>
              <wp:anchor behindDoc="0" distT="48895" distB="48895" distL="17780" distR="17780" simplePos="0" locked="0" layoutInCell="1" allowOverlap="1" relativeHeight="2">
                <wp:simplePos x="0" y="0"/>
                <wp:positionH relativeFrom="column">
                  <wp:posOffset>381000</wp:posOffset>
                </wp:positionH>
                <wp:positionV relativeFrom="paragraph">
                  <wp:posOffset>119380</wp:posOffset>
                </wp:positionV>
                <wp:extent cx="1151890" cy="467995"/>
                <wp:effectExtent l="17780" t="48895" r="17780" b="48895"/>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21300000">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f" style="position:absolute;margin-left:29.95pt;margin-top:9.35pt;width:90.65pt;height:36.8pt;mso-wrap-style:none;v-text-anchor:middle;rotation:355" type="_x0000_t75">
                <v:imagedata r:id="rId3" o:detectmouseclick="t"/>
                <v:stroke color="#3465a4" joinstyle="round" endcap="flat"/>
                <w10:wrap type="none"/>
              </v:shape>
            </w:pict>
          </mc:Fallback>
        </mc:AlternateContent>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mc:AlternateContent>
          <mc:Choice Requires="wps">
            <w:drawing>
              <wp:anchor behindDoc="0" distT="48895" distB="48895" distL="17780" distR="17780" simplePos="0" locked="0" layoutInCell="1" allowOverlap="1" relativeHeight="3">
                <wp:simplePos x="0" y="0"/>
                <wp:positionH relativeFrom="column">
                  <wp:posOffset>4067175</wp:posOffset>
                </wp:positionH>
                <wp:positionV relativeFrom="paragraph">
                  <wp:posOffset>135890</wp:posOffset>
                </wp:positionV>
                <wp:extent cx="1151890" cy="467995"/>
                <wp:effectExtent l="17780" t="48895" r="17780" b="48895"/>
                <wp:wrapNone/>
                <wp:docPr id="3" name="Image1 Copy 1"/>
                <a:graphic xmlns:a="http://schemas.openxmlformats.org/drawingml/2006/main">
                  <a:graphicData uri="http://schemas.openxmlformats.org/drawingml/2006/picture">
                    <pic:pic xmlns:pic="http://schemas.openxmlformats.org/drawingml/2006/picture">
                      <pic:nvPicPr>
                        <pic:cNvPr id="4" name="Image1 Copy 1" descr=""/>
                        <pic:cNvPicPr/>
                      </pic:nvPicPr>
                      <pic:blipFill>
                        <a:blip r:embed="rId4"/>
                        <a:stretch/>
                      </pic:blipFill>
                      <pic:spPr>
                        <a:xfrm rot="21300000">
                          <a:off x="0" y="0"/>
                          <a:ext cx="1152000" cy="468000"/>
                        </a:xfrm>
                        <a:prstGeom prst="rect">
                          <a:avLst/>
                        </a:prstGeom>
                        <a:noFill/>
                        <a:ln w="0">
                          <a:noFill/>
                        </a:ln>
                      </pic:spPr>
                    </pic:pic>
                  </a:graphicData>
                </a:graphic>
              </wp:anchor>
            </w:drawing>
          </mc:Choice>
          <mc:Fallback>
            <w:pict>
              <v:shape id="shape_0" ID="Image1 Copy 1" stroked="f" o:allowincell="f" style="position:absolute;margin-left:320.2pt;margin-top:10.65pt;width:90.65pt;height:36.8pt;mso-wrap-style:none;v-text-anchor:middle;rotation:355" type="_x0000_t75">
                <v:imagedata r:id="rId5" o:detectmouseclick="t"/>
                <v:stroke color="#3465a4" joinstyle="round" endcap="flat"/>
                <w10:wrap type="none"/>
              </v:shape>
            </w:pict>
          </mc:Fallback>
        </mc:AlternateContent>
      </w:r>
      <w:r>
        <w:rPr>
          <w:rFonts w:ascii="Calibri" w:hAnsi="Calibri"/>
          <w:sz w:val="20"/>
          <w:szCs w:val="20"/>
        </w:rPr>
        <w:t>_____________________</w:t>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Muhammad Ilyas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35202-2834819-5</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0301 443 0802</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Ilyas.Khan@yahoo.com</w:t>
            </w:r>
          </w:p>
        </w:tc>
      </w:tr>
    </w:tbl>
    <w:p>
      <w:pPr>
        <w:pStyle w:val="Normal"/>
        <w:bidi w:val="0"/>
        <w:rPr>
          <w:rFonts w:ascii="Calibri" w:hAnsi="Calibri"/>
          <w:sz w:val="22"/>
          <w:szCs w:val="22"/>
        </w:rPr>
      </w:pPr>
      <w:r>
        <w:rPr>
          <w:rFonts w:ascii="Calibri" w:hAnsi="Calibri"/>
          <w:sz w:val="22"/>
          <w:szCs w:val="22"/>
        </w:rPr>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Raja Muhammad Anees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35202-3795555-1</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0306 566 0936</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aneeskhan21@gmail.com</w:t>
            </w:r>
          </w:p>
        </w:tc>
      </w:tr>
    </w:tbl>
    <w:p>
      <w:pPr>
        <w:pStyle w:val="Normal"/>
        <w:bidi w:val="0"/>
        <w:rPr>
          <w:rFonts w:ascii="Calibri" w:hAnsi="Calibri"/>
          <w:sz w:val="22"/>
          <w:szCs w:val="22"/>
        </w:rPr>
      </w:pPr>
      <w:r>
        <w:rPr>
          <w:rFonts w:ascii="Calibri" w:hAnsi="Calibri"/>
          <w:sz w:val="22"/>
          <w:szCs w:val="22"/>
        </w:rPr>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Raja Muhammad Idrees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rPr/>
            </w:pPr>
            <w:r>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35202-6407144-7</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0300 885 0875</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n/a</w:t>
            </w:r>
          </w:p>
        </w:tc>
      </w:tr>
    </w:tbl>
    <w:p>
      <w:pPr>
        <w:pStyle w:val="Normal"/>
        <w:bidi w:val="0"/>
        <w:rPr>
          <w:rFonts w:ascii="Calibri" w:hAnsi="Calibri"/>
          <w:sz w:val="22"/>
          <w:szCs w:val="22"/>
        </w:rPr>
      </w:pPr>
      <w:r>
        <w:rPr>
          <w:rFonts w:ascii="Calibri" w:hAnsi="Calibri"/>
          <w:sz w:val="22"/>
          <w:szCs w:val="22"/>
        </w:rPr>
      </w:r>
    </w:p>
    <w:sectPr>
      <w:footerReference w:type="even" r:id="rId6"/>
      <w:footerReference w:type="default" r:id="rId7"/>
      <w:footerReference w:type="first" r:id="rId8"/>
      <w:type w:val="nextPage"/>
      <w:pgSz w:w="12240" w:h="15840"/>
      <w:pgMar w:left="1134" w:right="1134" w:gutter="0" w:header="0" w:top="1134" w:footer="1134" w:bottom="202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ptos">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29" w:type="dxa"/>
      <w:tblLayout w:type="fixed"/>
      <w:tblCellMar>
        <w:top w:w="29" w:type="dxa"/>
        <w:left w:w="29" w:type="dxa"/>
        <w:bottom w:w="29" w:type="dxa"/>
        <w:right w:w="29" w:type="dxa"/>
      </w:tblCellMar>
    </w:tblPr>
    <w:tblGrid>
      <w:gridCol w:w="2605"/>
      <w:gridCol w:w="7366"/>
    </w:tblGrid>
    <w:tr>
      <w:trPr/>
      <w:tc>
        <w:tcPr>
          <w:tcW w:w="2605" w:type="dxa"/>
          <w:tcBorders/>
        </w:tcPr>
        <w:p>
          <w:pPr>
            <w:pStyle w:val="Default"/>
            <w:tabs>
              <w:tab w:val="clear" w:pos="709"/>
              <w:tab w:val="left" w:pos="400" w:leader="none"/>
            </w:tabs>
            <w:bidi w:val="0"/>
            <w:jc w:val="left"/>
            <w:rPr>
              <w:rFonts w:ascii="Arial" w:hAnsi="Arial"/>
              <w:i w:val="false"/>
              <w:i w:val="false"/>
              <w:caps w:val="false"/>
              <w:smallCaps w:val="false"/>
              <w:color w:val="auto"/>
            </w:rPr>
          </w:pPr>
          <w:r>
            <w:rPr>
              <w:rFonts w:ascii="Arial" w:hAnsi="Arial"/>
              <w:i w:val="false"/>
              <w:caps w:val="false"/>
              <w:smallCaps w:val="false"/>
              <w:color w:val="auto"/>
            </w:rPr>
          </w:r>
        </w:p>
      </w:tc>
      <w:tc>
        <w:tcPr>
          <w:tcW w:w="7366" w:type="dxa"/>
          <w:tcBorders/>
        </w:tcPr>
        <w:tbl>
          <w:tblPr>
            <w:tblW w:w="5000" w:type="pct"/>
            <w:jc w:val="left"/>
            <w:tblInd w:w="0" w:type="dxa"/>
            <w:tblLayout w:type="fixed"/>
            <w:tblCellMar>
              <w:top w:w="29" w:type="dxa"/>
              <w:left w:w="29" w:type="dxa"/>
              <w:bottom w:w="29" w:type="dxa"/>
              <w:right w:w="29" w:type="dxa"/>
            </w:tblCellMar>
          </w:tblPr>
          <w:tblGrid>
            <w:gridCol w:w="3654"/>
            <w:gridCol w:w="3654"/>
          </w:tblGrid>
          <w:tr>
            <w:trPr/>
            <w:tc>
              <w:tcPr>
                <w:tcW w:w="3654" w:type="dxa"/>
                <w:tcBorders/>
              </w:tcPr>
              <w:p>
                <w:pPr>
                  <w:pStyle w:val="TableContents"/>
                  <w:bidi w:val="0"/>
                  <w:jc w:val="right"/>
                  <w:rPr>
                    <w:rFonts w:ascii="Calibri" w:hAnsi="Calibri"/>
                    <w:sz w:val="18"/>
                    <w:szCs w:val="18"/>
                  </w:rPr>
                </w:pPr>
                <w:r>
                  <w:rPr>
                    <w:rFonts w:ascii="Calibri" w:hAnsi="Calibri"/>
                    <w:sz w:val="16"/>
                    <w:szCs w:val="16"/>
                  </w:rPr>
                  <w:fldChar w:fldCharType="begin"/>
                </w:r>
                <w:r>
                  <w:rPr>
                    <w:sz w:val="16"/>
                    <w:szCs w:val="16"/>
                    <w:rFonts w:ascii="Calibri" w:hAnsi="Calibri"/>
                  </w:rPr>
                  <w:instrText xml:space="preserve"> DOCPROPERTY "SendingReference"</w:instrText>
                </w:r>
                <w:r>
                  <w:rPr>
                    <w:sz w:val="16"/>
                    <w:szCs w:val="16"/>
                    <w:rFonts w:ascii="Calibri" w:hAnsi="Calibri"/>
                  </w:rPr>
                  <w:fldChar w:fldCharType="separate"/>
                </w:r>
                <w:r>
                  <w:rPr>
                    <w:sz w:val="16"/>
                    <w:szCs w:val="16"/>
                    <w:rFonts w:ascii="Calibri" w:hAnsi="Calibri"/>
                  </w:rPr>
                  <w:t>ALNRS-MAK-25-01-ALNRS-KHAN-0197-TDS</w:t>
                </w:r>
                <w:r>
                  <w:rPr>
                    <w:sz w:val="16"/>
                    <w:szCs w:val="16"/>
                    <w:rFonts w:ascii="Calibri" w:hAnsi="Calibri"/>
                  </w:rPr>
                  <w:fldChar w:fldCharType="end"/>
                </w:r>
              </w:p>
            </w:tc>
            <w:tc>
              <w:tcPr>
                <w:tcW w:w="3654" w:type="dxa"/>
                <w:tcBorders/>
              </w:tcPr>
              <w:p>
                <w:pPr>
                  <w:pStyle w:val="TableContents"/>
                  <w:bidi w:val="0"/>
                  <w:jc w:val="right"/>
                  <w:rPr>
                    <w:rFonts w:ascii="Calibri" w:hAnsi="Calibri"/>
                    <w:sz w:val="18"/>
                    <w:szCs w:val="18"/>
                  </w:rPr>
                </w:pPr>
                <w:r>
                  <w:rPr>
                    <w:rFonts w:ascii="Calibri" w:hAnsi="Calibri"/>
                    <w:sz w:val="16"/>
                    <w:szCs w:val="16"/>
                  </w:rPr>
                  <w:t xml:space="preserve">Page </w:t>
                </w: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r>
                  <w:rPr>
                    <w:rFonts w:ascii="Calibri" w:hAnsi="Calibri"/>
                    <w:sz w:val="16"/>
                    <w:szCs w:val="16"/>
                  </w:rPr>
                  <w:t xml:space="preserve"> of </w:t>
                </w:r>
                <w:r>
                  <w:rPr>
                    <w:rFonts w:ascii="Calibri" w:hAnsi="Calibri"/>
                    <w:sz w:val="16"/>
                    <w:szCs w:val="16"/>
                  </w:rPr>
                  <w:fldChar w:fldCharType="begin"/>
                </w:r>
                <w:r>
                  <w:rPr>
                    <w:sz w:val="16"/>
                    <w:szCs w:val="16"/>
                    <w:rFonts w:ascii="Calibri" w:hAnsi="Calibri"/>
                  </w:rPr>
                  <w:instrText xml:space="preserve"> NUMPAGES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p>
            </w:tc>
          </w:tr>
        </w:tbl>
        <w:p>
          <w:pPr>
            <w:pStyle w:val="TableContents"/>
            <w:bidi w:val="0"/>
            <w:jc w:val="left"/>
            <w:rPr>
              <w:sz w:val="18"/>
              <w:szCs w:val="18"/>
            </w:rPr>
          </w:pPr>
          <w:r>
            <w:rPr>
              <w:sz w:val="18"/>
              <w:szCs w:val="18"/>
            </w:rPr>
          </w:r>
        </w:p>
      </w:tc>
    </w:tr>
  </w:tbl>
  <w:p>
    <w:pPr>
      <w:pStyle w:val="Footer"/>
      <w:bidi w:val="0"/>
      <w:jc w:val="right"/>
      <w:rPr>
        <w:rFonts w:ascii="Calibri" w:hAnsi="Calibri"/>
      </w:rPr>
    </w:pPr>
    <w:r>
      <w:rPr>
        <w:rFonts w:ascii="Calibri" w:hAnsi="Calibr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29" w:type="dxa"/>
      <w:tblLayout w:type="fixed"/>
      <w:tblCellMar>
        <w:top w:w="29" w:type="dxa"/>
        <w:left w:w="29" w:type="dxa"/>
        <w:bottom w:w="29" w:type="dxa"/>
        <w:right w:w="29" w:type="dxa"/>
      </w:tblCellMar>
    </w:tblPr>
    <w:tblGrid>
      <w:gridCol w:w="2605"/>
      <w:gridCol w:w="7366"/>
    </w:tblGrid>
    <w:tr>
      <w:trPr/>
      <w:tc>
        <w:tcPr>
          <w:tcW w:w="2605" w:type="dxa"/>
          <w:tcBorders/>
        </w:tcPr>
        <w:p>
          <w:pPr>
            <w:pStyle w:val="Default"/>
            <w:tabs>
              <w:tab w:val="clear" w:pos="709"/>
              <w:tab w:val="left" w:pos="400" w:leader="none"/>
            </w:tabs>
            <w:bidi w:val="0"/>
            <w:jc w:val="left"/>
            <w:rPr>
              <w:rFonts w:ascii="Arial" w:hAnsi="Arial"/>
              <w:i w:val="false"/>
              <w:i w:val="false"/>
              <w:caps w:val="false"/>
              <w:smallCaps w:val="false"/>
              <w:color w:val="auto"/>
            </w:rPr>
          </w:pPr>
          <w:r>
            <w:rPr>
              <w:rFonts w:ascii="Arial" w:hAnsi="Arial"/>
              <w:i w:val="false"/>
              <w:caps w:val="false"/>
              <w:smallCaps w:val="false"/>
              <w:color w:val="auto"/>
            </w:rPr>
          </w:r>
        </w:p>
      </w:tc>
      <w:tc>
        <w:tcPr>
          <w:tcW w:w="7366" w:type="dxa"/>
          <w:tcBorders/>
        </w:tcPr>
        <w:tbl>
          <w:tblPr>
            <w:tblW w:w="5000" w:type="pct"/>
            <w:jc w:val="left"/>
            <w:tblInd w:w="0" w:type="dxa"/>
            <w:tblLayout w:type="fixed"/>
            <w:tblCellMar>
              <w:top w:w="29" w:type="dxa"/>
              <w:left w:w="29" w:type="dxa"/>
              <w:bottom w:w="29" w:type="dxa"/>
              <w:right w:w="29" w:type="dxa"/>
            </w:tblCellMar>
          </w:tblPr>
          <w:tblGrid>
            <w:gridCol w:w="3654"/>
            <w:gridCol w:w="3654"/>
          </w:tblGrid>
          <w:tr>
            <w:trPr/>
            <w:tc>
              <w:tcPr>
                <w:tcW w:w="3654" w:type="dxa"/>
                <w:tcBorders/>
              </w:tcPr>
              <w:p>
                <w:pPr>
                  <w:pStyle w:val="TableContents"/>
                  <w:bidi w:val="0"/>
                  <w:jc w:val="right"/>
                  <w:rPr>
                    <w:rFonts w:ascii="Calibri" w:hAnsi="Calibri"/>
                    <w:sz w:val="18"/>
                    <w:szCs w:val="18"/>
                  </w:rPr>
                </w:pPr>
                <w:r>
                  <w:rPr>
                    <w:rFonts w:ascii="Calibri" w:hAnsi="Calibri"/>
                    <w:sz w:val="16"/>
                    <w:szCs w:val="16"/>
                  </w:rPr>
                  <w:fldChar w:fldCharType="begin"/>
                </w:r>
                <w:r>
                  <w:rPr>
                    <w:sz w:val="16"/>
                    <w:szCs w:val="16"/>
                    <w:rFonts w:ascii="Calibri" w:hAnsi="Calibri"/>
                  </w:rPr>
                  <w:instrText xml:space="preserve"> DOCPROPERTY "SendingReference"</w:instrText>
                </w:r>
                <w:r>
                  <w:rPr>
                    <w:sz w:val="16"/>
                    <w:szCs w:val="16"/>
                    <w:rFonts w:ascii="Calibri" w:hAnsi="Calibri"/>
                  </w:rPr>
                  <w:fldChar w:fldCharType="separate"/>
                </w:r>
                <w:r>
                  <w:rPr>
                    <w:sz w:val="16"/>
                    <w:szCs w:val="16"/>
                    <w:rFonts w:ascii="Calibri" w:hAnsi="Calibri"/>
                  </w:rPr>
                  <w:t>ALNRS-MAK-25-01-ALNRS-KHAN-0197-TDS</w:t>
                </w:r>
                <w:r>
                  <w:rPr>
                    <w:sz w:val="16"/>
                    <w:szCs w:val="16"/>
                    <w:rFonts w:ascii="Calibri" w:hAnsi="Calibri"/>
                  </w:rPr>
                  <w:fldChar w:fldCharType="end"/>
                </w:r>
              </w:p>
            </w:tc>
            <w:tc>
              <w:tcPr>
                <w:tcW w:w="3654" w:type="dxa"/>
                <w:tcBorders/>
              </w:tcPr>
              <w:p>
                <w:pPr>
                  <w:pStyle w:val="TableContents"/>
                  <w:bidi w:val="0"/>
                  <w:jc w:val="right"/>
                  <w:rPr>
                    <w:rFonts w:ascii="Calibri" w:hAnsi="Calibri"/>
                    <w:sz w:val="18"/>
                    <w:szCs w:val="18"/>
                  </w:rPr>
                </w:pPr>
                <w:r>
                  <w:rPr>
                    <w:rFonts w:ascii="Calibri" w:hAnsi="Calibri"/>
                    <w:sz w:val="16"/>
                    <w:szCs w:val="16"/>
                  </w:rPr>
                  <w:t xml:space="preserve">Page </w:t>
                </w: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r>
                  <w:rPr>
                    <w:rFonts w:ascii="Calibri" w:hAnsi="Calibri"/>
                    <w:sz w:val="16"/>
                    <w:szCs w:val="16"/>
                  </w:rPr>
                  <w:t xml:space="preserve"> of </w:t>
                </w:r>
                <w:r>
                  <w:rPr>
                    <w:rFonts w:ascii="Calibri" w:hAnsi="Calibri"/>
                    <w:sz w:val="16"/>
                    <w:szCs w:val="16"/>
                  </w:rPr>
                  <w:fldChar w:fldCharType="begin"/>
                </w:r>
                <w:r>
                  <w:rPr>
                    <w:sz w:val="16"/>
                    <w:szCs w:val="16"/>
                    <w:rFonts w:ascii="Calibri" w:hAnsi="Calibri"/>
                  </w:rPr>
                  <w:instrText xml:space="preserve"> NUMPAGES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p>
            </w:tc>
          </w:tr>
        </w:tbl>
        <w:p>
          <w:pPr>
            <w:pStyle w:val="TableContents"/>
            <w:bidi w:val="0"/>
            <w:jc w:val="left"/>
            <w:rPr>
              <w:sz w:val="18"/>
              <w:szCs w:val="18"/>
            </w:rPr>
          </w:pPr>
          <w:r>
            <w:rPr>
              <w:sz w:val="18"/>
              <w:szCs w:val="18"/>
            </w:rPr>
          </w:r>
        </w:p>
      </w:tc>
    </w:tr>
  </w:tbl>
  <w:p>
    <w:pPr>
      <w:pStyle w:val="Footer"/>
      <w:bidi w:val="0"/>
      <w:jc w:val="right"/>
      <w:rPr>
        <w:rFonts w:ascii="Calibri" w:hAnsi="Calibri"/>
      </w:rPr>
    </w:pPr>
    <w:r>
      <w:rPr>
        <w:rFonts w:ascii="Calibri" w:hAnsi="Calibr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smallCaps w:val="false"/>
        <w:caps w:val="false"/>
        <w:sz w:val="20"/>
        <w:i w:val="false"/>
        <w:b w:val="false"/>
        <w:szCs w:val="20"/>
        <w:bCs w:val="false"/>
        <w:rFonts w:ascii="Calibri" w:hAnsi="Calibri"/>
        <w:color w:val="333333"/>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lang w:val="zxx" w:eastAsia="zxx" w:bidi="zxx"/>
    </w:rPr>
  </w:style>
  <w:style w:type="character" w:styleId="FootnoteCharactersuser">
    <w:name w:val="Footnote Characters (user)"/>
    <w:qFormat/>
    <w:rPr/>
  </w:style>
  <w:style w:type="character" w:styleId="EndnoteCharactersuser">
    <w:name w:val="Endnote Characters (user)"/>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paragraph" w:styleId="EnvelopeAddress">
    <w:name w:val="envelope address"/>
    <w:basedOn w:val="Normal"/>
    <w:pPr>
      <w:suppressLineNumbers/>
      <w:spacing w:before="0" w:after="60"/>
    </w:pPr>
    <w:rPr/>
  </w:style>
  <w:style w:type="paragraph" w:styleId="EnvelopeReturn">
    <w:name w:val="envelope return"/>
    <w:basedOn w:val="Normal"/>
    <w:pPr>
      <w:suppressLineNumbers/>
      <w:spacing w:before="0" w:after="6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Default">
    <w:name w:val="Default"/>
    <w:qFormat/>
    <w:pPr>
      <w:widowControl/>
      <w:suppressAutoHyphens w:val="true"/>
      <w:bidi w:val="0"/>
      <w:spacing w:before="0" w:after="0"/>
      <w:jc w:val="left"/>
    </w:pPr>
    <w:rPr>
      <w:rFonts w:ascii="Aptos" w:hAnsi="Aptos" w:eastAsia="NSimSun" w:cs="Tahoma"/>
      <w:color w:val="000000"/>
      <w:kern w:val="2"/>
      <w:sz w:val="24"/>
      <w:szCs w:val="24"/>
      <w:lang w:val="en-US" w:eastAsia="zh-CN" w:bidi="ur-PK"/>
    </w:rPr>
  </w:style>
  <w:style w:type="paragraph" w:styleId="ListContents">
    <w:name w:val="List Contents"/>
    <w:basedOn w:val="Normal"/>
    <w:qFormat/>
    <w:pPr>
      <w:ind w:left="567"/>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LibreOffice/25.8.0.4$Windows_X86_64 LibreOffice_project/48f00303701489684e67c38c28aff00cd5929e67</Application>
  <AppVersion>15.0000</AppVersion>
  <Pages>2</Pages>
  <Words>459</Words>
  <Characters>2597</Characters>
  <CharactersWithSpaces>2933</CharactersWithSpaces>
  <Paragraphs>116</Paragraphs>
  <Company>Al-noor Sugar Mills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2025-09-27T19:13:53Z</dcterms:created>
  <dc:creator/>
  <dc:description/>
  <dc:language>en-US</dc:language>
  <cp:lastModifiedBy/>
  <dcterms:modified xsi:type="dcterms:W3CDTF">2025-10-22T17:02:22Z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ALNRS</vt:lpwstr>
  </property>
  <property fmtid="{D5CDD505-2E9C-101B-9397-08002B2CF9AE}" pid="3" name="Folio">
    <vt:lpwstr>KHAN-0197</vt:lpwstr>
  </property>
  <property fmtid="{D5CDD505-2E9C-101B-9397-08002B2CF9AE}" pid="4" name="SendingReference">
    <vt:lpwstr>ALNRS-MAK-25-01-ALNRS-KHAN-0197-TDS</vt:lpwstr>
  </property>
  <property fmtid="{D5CDD505-2E9C-101B-9397-08002B2CF9AE}" pid="5" name="Subject">
    <vt:lpwstr>STATUS OF Transmission of Shares and Dividends – Late Mohammad Ayub Khan, CNIC: 35200-1521538-7</vt:lpwstr>
  </property>
  <property fmtid="{D5CDD505-2E9C-101B-9397-08002B2CF9AE}" pid="6" name="SubjectReference">
    <vt:lpwstr>Alnoor Sugar Mills Ltd., Folio # KHAN-0197</vt:lpwstr>
  </property>
</Properties>
</file>