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auto"/>
          <w:sz w:val="20"/>
          <w:szCs w:val="20"/>
        </w:rPr>
        <w:t>C &amp; K Management Associates (Pvt.) Limited</w:t>
      </w:r>
    </w:p>
    <w:p>
      <w:pPr>
        <w:pStyle w:val="Normal"/>
        <w:bidi w:val="0"/>
        <w:rPr/>
      </w:pPr>
      <w:r>
        <w:rPr>
          <w:rStyle w:val="Strong"/>
        </w:rPr>
        <w:t>M-13, Progressive Plaza,</w:t>
      </w:r>
    </w:p>
    <w:p>
      <w:pPr>
        <w:pStyle w:val="Normal"/>
        <w:bidi w:val="0"/>
        <w:rPr/>
      </w:pPr>
      <w:r>
        <w:rPr>
          <w:rStyle w:val="Strong"/>
        </w:rPr>
        <w:t>Plot No. 5 – CL – 10, Civil Lines Quarter,</w:t>
      </w:r>
    </w:p>
    <w:p>
      <w:pPr>
        <w:pStyle w:val="Normal"/>
        <w:bidi w:val="0"/>
        <w:rPr/>
      </w:pPr>
      <w:r>
        <w:rPr>
          <w:rStyle w:val="Strong"/>
        </w:rPr>
        <w:t>Beaumont Road, Karachi – 75530</w:t>
      </w:r>
    </w:p>
    <w:p>
      <w:pPr>
        <w:pStyle w:val="Normal"/>
        <w:bidi w:val="0"/>
        <w:rPr/>
      </w:pPr>
      <w:r>
        <w:rPr>
          <w:rStyle w:val="Strong"/>
        </w:rPr>
        <w:t>Tel: +92 21 35685930 | +92 21 35687839</w:t>
      </w:r>
    </w:p>
    <w:p>
      <w:pPr>
        <w:pStyle w:val="Normal"/>
        <w:jc w:val="end"/>
        <w:rPr/>
      </w:pPr>
      <w:r>
        <w:rPr>
          <w:rFonts w:cs="Calibri" w:ascii="Calibri" w:hAnsi="Calibri"/>
          <w:color w:val="auto"/>
          <w:sz w:val="22"/>
          <w:szCs w:val="22"/>
          <w:u w:val="none"/>
        </w:rPr>
        <w:t>2</w:t>
      </w:r>
      <w:r>
        <w:rPr>
          <w:rFonts w:cs="Calibri" w:ascii="Calibri" w:hAnsi="Calibri"/>
          <w:color w:val="auto"/>
          <w:sz w:val="22"/>
          <w:szCs w:val="22"/>
          <w:u w:val="none"/>
        </w:rPr>
        <w:t>4</w:t>
      </w:r>
      <w:r>
        <w:rPr>
          <w:rFonts w:cs="Calibri" w:ascii="Calibri" w:hAnsi="Calibri"/>
          <w:color w:val="auto"/>
          <w:sz w:val="22"/>
          <w:szCs w:val="22"/>
          <w:u w:val="none"/>
          <w:vertAlign w:val="superscript"/>
        </w:rPr>
        <w:t>th</w:t>
      </w:r>
      <w:r>
        <w:rPr>
          <w:rFonts w:cs="Calibri"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cs="Calibri" w:ascii="Calibri" w:hAnsi="Calibri"/>
          <w:color w:val="auto"/>
          <w:sz w:val="22"/>
          <w:szCs w:val="22"/>
          <w:u w:val="none"/>
        </w:rPr>
        <w:t>December</w:t>
      </w:r>
      <w:r>
        <w:rPr>
          <w:color w:val="auto"/>
          <w:sz w:val="22"/>
          <w:szCs w:val="22"/>
          <w:u w:val="none"/>
        </w:rPr>
        <w:t>, 2024</w:t>
      </w:r>
    </w:p>
    <w:p>
      <w:pPr>
        <w:pStyle w:val="Normal"/>
        <w:jc w:val="end"/>
        <w:rPr/>
      </w:pPr>
      <w:r>
        <w:rPr/>
        <w:fldChar w:fldCharType="begin"/>
      </w:r>
      <w:r>
        <w:rPr/>
        <w:instrText xml:space="preserve"> DOCPROPERTY "Reference"</w:instrText>
      </w:r>
      <w:r>
        <w:rPr/>
        <w:fldChar w:fldCharType="separate"/>
      </w:r>
      <w:r>
        <w:rPr/>
        <w:t>C&amp;KMA-MAK-02-ALNRS-TR-FL</w:t>
      </w:r>
      <w:r>
        <w:rPr/>
        <w:fldChar w:fldCharType="end"/>
      </w:r>
    </w:p>
    <w:p>
      <w:pPr>
        <w:pStyle w:val="Normal"/>
        <w:rPr/>
      </w:pPr>
      <w:r>
        <w:rPr/>
        <w:t>Transmission of Shares and Dividends – Late Mohammad Ayub Khan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0"/>
          <w:szCs w:val="20"/>
        </w:rPr>
        <w:t>CNIC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0"/>
          <w:szCs w:val="20"/>
        </w:rPr>
        <w:t>35200-1521538-7</w:t>
      </w:r>
    </w:p>
    <w:p>
      <w:pPr>
        <w:pStyle w:val="Normal"/>
        <w:numPr>
          <w:ilvl w:val="0"/>
          <w:numId w:val="2"/>
        </w:numPr>
        <w:rPr>
          <w:rFonts w:ascii="Calibri" w:hAnsi="Calibri"/>
          <w:b/>
          <w:bCs/>
          <w:sz w:val="22"/>
          <w:szCs w:val="22"/>
        </w:rPr>
      </w:pPr>
      <w:r>
        <w:rPr/>
        <w:t>Alnoor Sugar Mills Ltd., Folio # KHAN-0197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  <w:t xml:space="preserve">Dear Sirs,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brothers and myself, the legal heirs, thank you for the prompt confirmation of shareholding of our late father, Muhammad Ayub Khan S/o Sarwar Din (deceased) and providing guidance to expedite the transmission.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refer to your letter showing Member Shareholding Register of the captioned Company, dated 02-10-2024, reference NIL.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per the instruction relayed by you during telephone conversation on 13 November, 2024, this cover letter encloses the under-mentioned documents, required by you to send to the respective Company for obtaining legal clearance before proceeding with transmission of shares in favor of legal heirs.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Notarized copy of Succession Certificate issued by NADRA.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Notarized copy of Death Certificate of the deceased shareholder.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Notarized copy of CNIC of the deceased shareholder.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Notarized copy of CNICs of all 3 legal heirs.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All share certificates of respective Company distinguished by relative Folio Nos.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Account Maintenance Certificate of Muhammad Ilyas Khan and Raja Muhammad Anees Khan.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Letters of Request duly filled and signed by all the 3 legal heirs separately.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Notarized copy of CNIC of the 2 persons witnessing the deed.</w:t>
      </w:r>
    </w:p>
    <w:p>
      <w:pPr>
        <w:pStyle w:val="Normal"/>
        <w:numPr>
          <w:ilvl w:val="0"/>
          <w:numId w:val="3"/>
        </w:numPr>
        <w:bidi w:val="0"/>
        <w:rPr>
          <w:rFonts w:ascii="Calibri" w:hAnsi="Calibri"/>
          <w:sz w:val="22"/>
          <w:szCs w:val="22"/>
        </w:rPr>
      </w:pPr>
      <w:r>
        <w:rPr/>
        <w:t>Notarized copy of Family Registration Certificate, FRC, of the deceased shareholder.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  <w:t>Please note summary of shareholding status of the captioned deceased’s shareholding in the respective company: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Shares reported in Member Shareholding Register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i.e. # of shares reported in Member Shareholding Report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: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shares.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Physical Available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 i.e. in my possession, shares.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Missing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 i.e. not in my possession, shares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Not Reported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 i.e. in my possession but not reported in the Member Shareholding Register, shares.</w:t>
      </w:r>
    </w:p>
    <w:p>
      <w:pPr>
        <w:pStyle w:val="Normal"/>
        <w:rPr/>
      </w:pPr>
      <w:r>
        <w:rPr/>
      </w:r>
    </w:p>
    <w:tbl>
      <w:tblPr>
        <w:tblW w:w="9971" w:type="dxa"/>
        <w:jc w:val="start"/>
        <w:tblInd w:w="-2" w:type="dxa"/>
        <w:tblLayout w:type="fixed"/>
        <w:tblCellMar>
          <w:top w:w="58" w:type="dxa"/>
          <w:start w:w="29" w:type="dxa"/>
          <w:bottom w:w="58" w:type="dxa"/>
          <w:end w:w="29" w:type="dxa"/>
        </w:tblCellMar>
      </w:tblPr>
      <w:tblGrid>
        <w:gridCol w:w="726"/>
        <w:gridCol w:w="2823"/>
        <w:gridCol w:w="1432"/>
        <w:gridCol w:w="1436"/>
        <w:gridCol w:w="1182"/>
        <w:gridCol w:w="987"/>
        <w:gridCol w:w="1385"/>
      </w:tblGrid>
      <w:tr>
        <w:trPr>
          <w:tblHeader w:val="true"/>
        </w:trPr>
        <w:tc>
          <w:tcPr>
            <w:tcW w:w="7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 #</w:t>
            </w:r>
          </w:p>
        </w:tc>
        <w:tc>
          <w:tcPr>
            <w:tcW w:w="28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14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Folio #</w:t>
            </w:r>
          </w:p>
        </w:tc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Shares reported in Member Shareholding Register</w:t>
            </w:r>
          </w:p>
        </w:tc>
        <w:tc>
          <w:tcPr>
            <w:tcW w:w="11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Physical Share Certificates Available</w:t>
            </w:r>
          </w:p>
        </w:tc>
        <w:tc>
          <w:tcPr>
            <w:tcW w:w="9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1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Share Certificates not reported in Member Shareholding Register</w:t>
            </w:r>
          </w:p>
        </w:tc>
      </w:tr>
      <w:tr>
        <w:trPr/>
        <w:tc>
          <w:tcPr>
            <w:tcW w:w="72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</w:r>
          </w:p>
        </w:tc>
        <w:tc>
          <w:tcPr>
            <w:tcW w:w="282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Alnoor Sugar Mills Limited</w:t>
            </w:r>
          </w:p>
        </w:tc>
        <w:tc>
          <w:tcPr>
            <w:tcW w:w="143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KHAN-0197</w:t>
            </w:r>
          </w:p>
        </w:tc>
        <w:tc>
          <w:tcPr>
            <w:tcW w:w="14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63</w:t>
            </w:r>
          </w:p>
        </w:tc>
        <w:tc>
          <w:tcPr>
            <w:tcW w:w="11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58</w:t>
            </w:r>
          </w:p>
        </w:tc>
        <w:tc>
          <w:tcPr>
            <w:tcW w:w="98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3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Together with this, below, please find, the details of status of the captioned compan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in terms of individual share certificates marked as ‘missing’ or ‘available’, summed at the bottom of the table, for your ready reference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 determine the share certificates that need to be traced prior to transmission.</w:t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u w:val="none"/>
        </w:rPr>
      </w:pPr>
      <w:r>
        <w:rPr>
          <w:rFonts w:ascii="Calibri" w:hAnsi="Calibri"/>
          <w:sz w:val="20"/>
          <w:szCs w:val="20"/>
        </w:rPr>
      </w:r>
    </w:p>
    <w:p>
      <w:pPr>
        <w:pStyle w:val="statusheading"/>
        <w:rPr>
          <w:b/>
          <w:bCs/>
          <w:u w:val="single"/>
        </w:rPr>
      </w:pPr>
      <w:r>
        <w:rPr>
          <w:b/>
          <w:bCs/>
          <w:strike w:val="false"/>
          <w:dstrike w:val="false"/>
          <w:color w:val="auto"/>
          <w:u w:val="single"/>
        </w:rPr>
        <w:t>A</w:t>
      </w:r>
      <w:r>
        <w:rPr>
          <w:b/>
          <w:bCs/>
          <w:strike w:val="false"/>
          <w:dstrike w:val="false"/>
          <w:color w:val="auto"/>
          <w:u w:val="single"/>
        </w:rPr>
        <w:t>lnoor Sugar Mills Limited</w:t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drawing>
          <wp:inline distT="0" distB="0" distL="0" distR="0">
            <wp:extent cx="6144260" cy="2763520"/>
            <wp:effectExtent l="0" t="0" r="0" b="0"/>
            <wp:docPr id="1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Advise next steps at your soonest </w:t>
      </w:r>
      <w:r>
        <w:rPr/>
        <w:t>concerning missing share certificates</w:t>
      </w:r>
      <w:r>
        <w:rPr/>
        <w:t xml:space="preserve"> to expedite the process of transmission.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  <w:t>Thank you and kind regards.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  <w:t xml:space="preserve">Yours Faithfully,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Muhammad Ilyas Khan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21, Ghulam Nabi Colony</w:t>
            </w:r>
          </w:p>
          <w:p>
            <w:pPr>
              <w:pStyle w:val="Normal"/>
              <w:rPr/>
            </w:pPr>
            <w:r>
              <w:rPr/>
              <w:t>Samanabad, Lahore, 54500</w:t>
            </w:r>
          </w:p>
          <w:p>
            <w:pPr>
              <w:pStyle w:val="Normal"/>
              <w:rPr/>
            </w:pPr>
            <w:r>
              <w:rPr>
                <w:b/>
                <w:strike w:val="false"/>
                <w:dstrike w:val="false"/>
                <w:color w:val="auto"/>
                <w:sz w:val="22"/>
                <w:szCs w:val="22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2"/>
                <w:szCs w:val="22"/>
                <w:u w:val="none"/>
              </w:rPr>
              <w:t>0301 443 0802</w:t>
            </w:r>
          </w:p>
        </w:tc>
        <w:tc>
          <w:tcPr>
            <w:tcW w:w="4986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CNIC: 35202-2834819-5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/>
      <w:tc>
        <w:tcPr>
          <w:tcW w:w="4986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C&amp;KMA-MAK-02-ALNRS-TR-FL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FrameContents">
    <w:name w:val="Frame Contents"/>
    <w:basedOn w:val="Normal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ListBullet">
    <w:name w:val="List Bullet"/>
    <w:basedOn w:val="List"/>
    <w:pPr>
      <w:spacing w:before="0" w:after="120"/>
      <w:ind w:hanging="360" w:start="36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i w:val="false"/>
      <w:sz w:val="20"/>
      <w:u w:val="single" w:color="00000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3438</TotalTime>
  <Application>LibreOffice/25.8.0.4$Windows_X86_64 LibreOffice_project/48f00303701489684e67c38c28aff00cd5929e67</Application>
  <AppVersion>15.0000</AppVersion>
  <Pages>2</Pages>
  <Words>448</Words>
  <Characters>2510</Characters>
  <CharactersWithSpaces>2897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2024-10-20T20:43:38Z</cp:lastPrinted>
  <dcterms:modified xsi:type="dcterms:W3CDTF">2025-04-22T12:29:46Z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C&amp;KMA-MAK-02-ALNRS-TR-FL</vt:lpwstr>
  </property>
</Properties>
</file>