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REGISTRAR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Shahrah-e-Faisal,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Style w:val="Strong"/>
          <w:b w:val="false"/>
          <w:bCs w:val="false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/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September 1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EFERT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2500017764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EFERT - 00027166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Engro Fertilizers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EFERT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2500017764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E-FERT - 33137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Certificate number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"CertNr"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?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for 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"NrOfShares"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83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= shares duly transferred in my name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enclose system generated transfer deed against the subject mentioned folio in response to this letter to the address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EFERT - 00027166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5008</TotalTime>
  <Application>LibreOffice/25.8.0.4$Windows_X86_64 LibreOffice_project/48f00303701489684e67c38c28aff00cd5929e67</Application>
  <AppVersion>15.0000</AppVersion>
  <Pages>1</Pages>
  <Words>138</Words>
  <Characters>819</Characters>
  <CharactersWithSpaces>930</CharactersWithSpaces>
  <Paragraphs>26</Paragraphs>
  <Company>Engro Fertilizers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2025-08-28T21:54:53Z</dcterms:modified>
  <cp:revision>682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Nr">
    <vt:lpwstr>?</vt:lpwstr>
  </property>
  <property fmtid="{D5CDD505-2E9C-101B-9397-08002B2CF9AE}" pid="3" name="CoTicker">
    <vt:lpwstr>EFERT</vt:lpwstr>
  </property>
  <property fmtid="{D5CDD505-2E9C-101B-9397-08002B2CF9AE}" pid="4" name="FatherCNIC">
    <vt:lpwstr>35200-1521538-7</vt:lpwstr>
  </property>
  <property fmtid="{D5CDD505-2E9C-101B-9397-08002B2CF9AE}" pid="5" name="Folio1">
    <vt:lpwstr>2500017764</vt:lpwstr>
  </property>
  <property fmtid="{D5CDD505-2E9C-101B-9397-08002B2CF9AE}" pid="6" name="NrOfShares">
    <vt:lpwstr>83</vt:lpwstr>
  </property>
  <property fmtid="{D5CDD505-2E9C-101B-9397-08002B2CF9AE}" pid="7" name="Reference">
    <vt:lpwstr>EFERT - 00027166</vt:lpwstr>
  </property>
  <property fmtid="{D5CDD505-2E9C-101B-9397-08002B2CF9AE}" pid="8" name="ReferenceReceiving">
    <vt:lpwstr>E-FERT - 33137</vt:lpwstr>
  </property>
</Properties>
</file>