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2"/>
        <w:gridCol w:w="2337"/>
      </w:tblGrid>
      <w:tr>
        <w:trPr>
          <w:tblHeader w:val="true"/>
        </w:trPr>
        <w:tc>
          <w:tcPr>
            <w:tcW w:w="7022" w:type="dxa"/>
            <w:tcBorders/>
          </w:tcPr>
          <w:p>
            <w:pPr>
              <w:pStyle w:val="TableHeading"/>
              <w:bidi w:val="0"/>
              <w:jc w:val="start"/>
              <w:rPr>
                <w:b/>
                <w:bCs/>
              </w:rPr>
            </w:pPr>
            <w:r>
              <w:rPr>
                <w:rFonts w:ascii="Calibri" w:hAnsi="Calibri"/>
                <w:b/>
                <w:bCs/>
                <w:sz w:val="20"/>
                <w:szCs w:val="20"/>
              </w:rPr>
              <w:t>The Directors,</w:t>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7022"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ENGRO HOLDINGS (FORMERLY: DAWOOD HERCULES CORPORATION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9th Floor, Dawood Center</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M.T. Khan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8130</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20239</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50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13518201  -  13518250</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ENGRO HOLDINGS (FORMERLY: DAWOOD HERCULES CORPORATION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(Name of Guarantor)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50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r>
      <w:r>
        <w:rPr>
          <w:sz w:val="20"/>
          <w:szCs w:val="24"/>
          <w:rFonts w:ascii="Calibri" w:hAnsi="Calibri"/>
        </w:rPr>
        <w:fldChar w:fldCharType="end"/>
      </w:r>
      <w:r>
        <w:rPr>
          <w:rFonts w:ascii="Calibri" w:hAnsi="Calibri"/>
          <w:sz w:val="20"/>
          <w:szCs w:val="24"/>
        </w:rPr>
        <w:drawing>
          <wp:anchor behindDoc="0" distT="0" distB="0" distL="0" distR="0" simplePos="0" locked="0" layoutInCell="1" allowOverlap="1" relativeHeight="2">
            <wp:simplePos x="0" y="0"/>
            <wp:positionH relativeFrom="column">
              <wp:posOffset>4796155</wp:posOffset>
            </wp:positionH>
            <wp:positionV relativeFrom="paragraph">
              <wp:posOffset>960120</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Contact No.: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Branch Code</w:t>
              <w:tab/>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548005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6564</TotalTime>
  <Application>LibreOffice/25.8.0.4$Windows_X86_64 LibreOffice_project/48f00303701489684e67c38c28aff00cd5929e67</Application>
  <AppVersion>15.0000</AppVersion>
  <Pages>2</Pages>
  <Words>522</Words>
  <Characters>2988</Characters>
  <CharactersWithSpaces>3582</CharactersWithSpaces>
  <Paragraphs>66</Paragraphs>
  <Company>ENGRO HOLDINGS (FORMERLY: DAWOOD HERCULES CORPORATION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2025-10-07T17:29:33Z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9th Floor, Dawood Center</vt:lpwstr>
  </property>
  <property fmtid="{D5CDD505-2E9C-101B-9397-08002B2CF9AE}" pid="3" name="CoAddress2">
    <vt:lpwstr>M.T. Khan Road</vt:lpwstr>
  </property>
  <property fmtid="{D5CDD505-2E9C-101B-9397-08002B2CF9AE}" pid="4" name="CoCityZip">
    <vt:lpwstr>Karachi - 75530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8130</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20239</vt:lpwstr>
  </property>
  <property fmtid="{D5CDD505-2E9C-101B-9397-08002B2CF9AE}" pid="18" name="ShareDistinctiveNos">
    <vt:lpwstr/>
  </property>
  <property fmtid="{D5CDD505-2E9C-101B-9397-08002B2CF9AE}" pid="19" name="ShareDistinctiveNosLost">
    <vt:lpwstr>13518201  -  13518250</vt:lpwstr>
  </property>
  <property fmtid="{D5CDD505-2E9C-101B-9397-08002B2CF9AE}" pid="20" name="SharesLost">
    <vt:lpwstr>50</vt:lpwstr>
  </property>
  <property fmtid="{D5CDD505-2E9C-101B-9397-08002B2CF9AE}" pid="21" name="SharesTotal">
    <vt:lpwstr/>
  </property>
  <property fmtid="{D5CDD505-2E9C-101B-9397-08002B2CF9AE}" pid="22" name="Ticker">
    <vt:lpwstr>ENGROH</vt:lpwstr>
  </property>
</Properties>
</file>